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D9EF" w14:textId="26DAED3E" w:rsidR="005B779A" w:rsidRPr="00EB0E9B" w:rsidRDefault="008D2F0E" w:rsidP="005B779A">
      <w:pPr>
        <w:spacing w:after="120"/>
        <w:jc w:val="right"/>
        <w:rPr>
          <w:b/>
          <w:bCs/>
          <w:sz w:val="24"/>
          <w:szCs w:val="24"/>
          <w:lang w:val="lv-LV"/>
        </w:rPr>
      </w:pPr>
      <w:bookmarkStart w:id="0" w:name="_Toc51827730"/>
      <w:r w:rsidRPr="00EB0E9B">
        <w:rPr>
          <w:b/>
          <w:bCs/>
          <w:sz w:val="24"/>
          <w:szCs w:val="24"/>
          <w:lang w:val="lv-LV"/>
        </w:rPr>
        <w:t>1</w:t>
      </w:r>
      <w:r w:rsidR="005B779A" w:rsidRPr="00EB0E9B">
        <w:rPr>
          <w:b/>
          <w:bCs/>
          <w:sz w:val="24"/>
          <w:szCs w:val="24"/>
          <w:lang w:val="lv-LV"/>
        </w:rPr>
        <w:t xml:space="preserve">. pielikums </w:t>
      </w:r>
    </w:p>
    <w:p w14:paraId="2C1CB2B4" w14:textId="23DD68B1" w:rsidR="005B779A" w:rsidRPr="00EB0E9B" w:rsidRDefault="005B779A" w:rsidP="005B779A">
      <w:pPr>
        <w:spacing w:after="120"/>
        <w:rPr>
          <w:b/>
          <w:bCs/>
          <w:sz w:val="28"/>
          <w:szCs w:val="28"/>
          <w:lang w:val="lv-LV"/>
        </w:rPr>
      </w:pPr>
      <w:bookmarkStart w:id="1" w:name="_Hlk51869988"/>
      <w:r w:rsidRPr="00EB0E9B">
        <w:rPr>
          <w:b/>
          <w:bCs/>
          <w:sz w:val="28"/>
          <w:szCs w:val="28"/>
          <w:lang w:val="lv-LV"/>
        </w:rPr>
        <w:t>HELCOM roņu sugu populāciju stāvokļa novērtējums</w:t>
      </w:r>
      <w:bookmarkEnd w:id="0"/>
      <w:r w:rsidRPr="00EB0E9B">
        <w:rPr>
          <w:b/>
          <w:bCs/>
          <w:sz w:val="28"/>
          <w:szCs w:val="28"/>
          <w:lang w:val="lv-LV"/>
        </w:rPr>
        <w:t xml:space="preserve"> </w:t>
      </w:r>
      <w:bookmarkEnd w:id="1"/>
    </w:p>
    <w:p w14:paraId="6400810D" w14:textId="77777777" w:rsidR="005B779A" w:rsidRPr="00EB0E9B" w:rsidRDefault="005B779A" w:rsidP="005158F8">
      <w:pPr>
        <w:spacing w:after="60" w:line="264" w:lineRule="auto"/>
        <w:jc w:val="both"/>
        <w:rPr>
          <w:lang w:val="lv-LV"/>
        </w:rPr>
      </w:pPr>
      <w:r w:rsidRPr="00EB0E9B">
        <w:rPr>
          <w:lang w:val="lv-LV"/>
        </w:rPr>
        <w:t>Roņu populācijas stāvokļa novērtējumu veic HELCOM Roņu darba grupa. Pēdējais šāds novērtējums tika veikts 2018. gadā (HELCOM, 2018). Sugu un populāciju stāvokļa novērtējuma indeksi tiek aprēķināti pēc sekojošiem kritērijiem:</w:t>
      </w:r>
    </w:p>
    <w:p w14:paraId="0263AB84" w14:textId="77777777" w:rsidR="005B779A" w:rsidRPr="00EB0E9B" w:rsidRDefault="005B779A" w:rsidP="005158F8">
      <w:pPr>
        <w:spacing w:after="60" w:line="264" w:lineRule="auto"/>
        <w:jc w:val="both"/>
        <w:rPr>
          <w:lang w:val="lv-LV"/>
        </w:rPr>
      </w:pPr>
      <w:r w:rsidRPr="00EB0E9B">
        <w:rPr>
          <w:lang w:val="lv-LV"/>
        </w:rPr>
        <w:t xml:space="preserve">1. Vairošanās radītājs. Labs stāvoklis ir sasniegts, ja gada rādītājs (tas ir grūsnu mātīšu daudzums populācijā ir vismaz 90% 5-gadīgām un vecākām mātītēm plankumainajam ronim un 6-gadīgām un vecākām mātītēm pelēkajam un pogainajam roņiem. </w:t>
      </w:r>
    </w:p>
    <w:p w14:paraId="44B7879F" w14:textId="77777777" w:rsidR="005B779A" w:rsidRPr="00EB0E9B" w:rsidRDefault="005B779A" w:rsidP="005158F8">
      <w:pPr>
        <w:spacing w:after="60" w:line="264" w:lineRule="auto"/>
        <w:jc w:val="both"/>
        <w:rPr>
          <w:lang w:val="lv-LV"/>
        </w:rPr>
      </w:pPr>
      <w:r w:rsidRPr="00EB0E9B">
        <w:rPr>
          <w:lang w:val="lv-LV"/>
        </w:rPr>
        <w:t xml:space="preserve">2. Populācijas lielums un dinamikas rādītājs. Lai sasniegtu labu populāciju lieluma stāvokli, katrai no sugām ir jābūt sasniegušai minimālo pieļaujamo populācijas skaita līmeni (1), jābūt vairāk par 10 000 īpatņiem (2), un sugas specifiskais pieauguma rādītājs ir sasniegts, kas norāda, ka nepastāv pārmērīgi antropogēnie faktoru ietekme (3). </w:t>
      </w:r>
    </w:p>
    <w:p w14:paraId="4FDAC018" w14:textId="77777777" w:rsidR="005B779A" w:rsidRPr="00EB0E9B" w:rsidRDefault="005B779A" w:rsidP="005158F8">
      <w:pPr>
        <w:spacing w:after="60" w:line="264" w:lineRule="auto"/>
        <w:jc w:val="both"/>
        <w:rPr>
          <w:lang w:val="lv-LV"/>
        </w:rPr>
      </w:pPr>
      <w:r w:rsidRPr="00EB0E9B">
        <w:rPr>
          <w:lang w:val="lv-LV"/>
        </w:rPr>
        <w:t xml:space="preserve">3. Izplatības rādītājs. Labs stāvoklis ir, ja sugas izplatības areāls tuvs pirmatnējam vai neskartajam. </w:t>
      </w:r>
    </w:p>
    <w:p w14:paraId="160847B1" w14:textId="77777777" w:rsidR="005B779A" w:rsidRPr="00EB0E9B" w:rsidRDefault="005B779A" w:rsidP="005158F8">
      <w:pPr>
        <w:spacing w:after="60" w:line="264" w:lineRule="auto"/>
        <w:jc w:val="both"/>
        <w:rPr>
          <w:lang w:val="lv-LV"/>
        </w:rPr>
      </w:pPr>
      <w:r w:rsidRPr="00EB0E9B">
        <w:rPr>
          <w:lang w:val="lv-LV"/>
        </w:rPr>
        <w:t xml:space="preserve">4. Barošanas rādītājs. Labs stāvoklis ir, ja zemādas tauku slāņa biezums ir lielāks par noteikto sliekšņa vērību. </w:t>
      </w:r>
      <w:bookmarkStart w:id="2" w:name="_GoBack"/>
      <w:bookmarkEnd w:id="2"/>
    </w:p>
    <w:p w14:paraId="56B30526" w14:textId="0E3246BA" w:rsidR="005B779A" w:rsidRPr="00EB0E9B" w:rsidRDefault="005B779A" w:rsidP="005158F8">
      <w:pPr>
        <w:spacing w:after="60" w:line="264" w:lineRule="auto"/>
        <w:jc w:val="both"/>
        <w:rPr>
          <w:lang w:val="lv-LV"/>
        </w:rPr>
      </w:pPr>
      <w:r w:rsidRPr="00EB0E9B">
        <w:rPr>
          <w:lang w:val="lv-LV"/>
        </w:rPr>
        <w:t>Baltijas jūrā novērtējumi veikti atsevišķi katrai no trim sugām. Pelēkā roņa populācija ir novērtēta kā viena krājuma vienība. Plankumainais ronis ir novērtēts divās, bet pogainais ronis - trijās krājuma vienībās. Izvērtēšanā izmantoti dati laika posmā no 2003 – līdz 2016. gadam. Dotie novērtējumi vizualizēti 1. attēlā.</w:t>
      </w:r>
    </w:p>
    <w:p w14:paraId="2CD97752" w14:textId="77777777" w:rsidR="005B779A" w:rsidRPr="00EB0E9B" w:rsidRDefault="005B779A" w:rsidP="005158F8">
      <w:pPr>
        <w:spacing w:after="60" w:line="264" w:lineRule="auto"/>
        <w:jc w:val="both"/>
        <w:rPr>
          <w:lang w:val="lv-LV"/>
        </w:rPr>
      </w:pPr>
      <w:r w:rsidRPr="00EB0E9B">
        <w:rPr>
          <w:lang w:val="lv-LV"/>
        </w:rPr>
        <w:t xml:space="preserve">Pēc </w:t>
      </w:r>
      <w:r w:rsidRPr="00EB0E9B">
        <w:rPr>
          <w:b/>
          <w:bCs/>
          <w:lang w:val="lv-LV"/>
        </w:rPr>
        <w:t>vairošanās rādītāja</w:t>
      </w:r>
      <w:r w:rsidRPr="00EB0E9B">
        <w:rPr>
          <w:lang w:val="lv-LV"/>
        </w:rPr>
        <w:t xml:space="preserve"> tikai pelēkajam ronim iespējams novērtējums. Plankumainajam un pogainajam roņiem tas nav iespējams datu trūkuma dēļ. Pelēkajam ronim vairošanās radītājs bija labā stāvoklī 2013-2014, gados, bet turamākos divus gadus – tuvu, bet zem sliekšņa līmeņa. </w:t>
      </w:r>
    </w:p>
    <w:p w14:paraId="2DC34993" w14:textId="6C9E78B3" w:rsidR="005B779A" w:rsidRPr="00EB0E9B" w:rsidRDefault="005B779A" w:rsidP="005158F8">
      <w:pPr>
        <w:spacing w:after="60" w:line="264" w:lineRule="auto"/>
        <w:jc w:val="both"/>
        <w:rPr>
          <w:lang w:val="lv-LV"/>
        </w:rPr>
      </w:pPr>
      <w:r w:rsidRPr="00EB0E9B">
        <w:rPr>
          <w:lang w:val="lv-LV"/>
        </w:rPr>
        <w:t xml:space="preserve">Pēc </w:t>
      </w:r>
      <w:r w:rsidRPr="00EB0E9B">
        <w:rPr>
          <w:b/>
          <w:bCs/>
          <w:lang w:val="lv-LV"/>
        </w:rPr>
        <w:t>populācijas lielums un dinamikas rādītāja</w:t>
      </w:r>
      <w:r w:rsidRPr="00EB0E9B">
        <w:rPr>
          <w:lang w:val="lv-LV"/>
        </w:rPr>
        <w:t xml:space="preserve"> pelēkā roņa populācijas lielums būtiski pārsniedz 10 000 īpatņus, bet nav sasniegts rādītājs attiecībā uz populācijas gada pieauguma kritēriju. Tomēr kopumā ņemot vērā abus rādītājus, pelēkā roņa stāvoklis attiecībā uz šo kritēriju atzīts kā labs. Savukārt pogainais ronis Rīgas līcī, tāpat kā Botnijas līcī un Somu līcī kopumā neatbilst labam vides stāvoklim. Jāatzīmē, ka Botnijas līcī pēc viena no kritērijiem (populācijas lieluma) pogainais ronis ir labā stāvokli, bet zem sliekšņa pēc populācijas pieauguma rādītāja. Pogainā roņa indikators Baltijas jūras atklātajā daļā Latvijas piekrastē nav attiecināms.</w:t>
      </w:r>
    </w:p>
    <w:p w14:paraId="37EA5C80" w14:textId="77777777" w:rsidR="005B779A" w:rsidRPr="00EB0E9B" w:rsidRDefault="005B779A" w:rsidP="005158F8">
      <w:pPr>
        <w:spacing w:after="60" w:line="264" w:lineRule="auto"/>
        <w:jc w:val="both"/>
        <w:rPr>
          <w:lang w:val="lv-LV"/>
        </w:rPr>
      </w:pPr>
      <w:r w:rsidRPr="00EB0E9B">
        <w:rPr>
          <w:lang w:val="lv-LV"/>
        </w:rPr>
        <w:t xml:space="preserve">Pēc </w:t>
      </w:r>
      <w:r w:rsidRPr="00EB0E9B">
        <w:rPr>
          <w:b/>
          <w:bCs/>
          <w:lang w:val="lv-LV"/>
        </w:rPr>
        <w:t>izplatības rādītāja</w:t>
      </w:r>
      <w:r w:rsidRPr="00EB0E9B">
        <w:rPr>
          <w:lang w:val="lv-LV"/>
        </w:rPr>
        <w:t xml:space="preserve"> pelēkā un plankumainā roņu mūsdienu areāli tiek vērtēti labā stāvokli, kamēr pogainajiem roņiem, pašreizējā ierobežotā izplatība līčos, ir atšķirīgā no sugas sākotnējā areāla Baltijas jūrā. </w:t>
      </w:r>
    </w:p>
    <w:p w14:paraId="34EB7B02" w14:textId="77777777" w:rsidR="005B779A" w:rsidRPr="00EB0E9B" w:rsidRDefault="005B779A" w:rsidP="005158F8">
      <w:pPr>
        <w:spacing w:after="60" w:line="264" w:lineRule="auto"/>
        <w:jc w:val="both"/>
        <w:rPr>
          <w:lang w:val="lv-LV"/>
        </w:rPr>
      </w:pPr>
      <w:r w:rsidRPr="00EB0E9B">
        <w:rPr>
          <w:lang w:val="lv-LV"/>
        </w:rPr>
        <w:t xml:space="preserve">Pēc </w:t>
      </w:r>
      <w:r w:rsidRPr="00EB0E9B">
        <w:rPr>
          <w:b/>
          <w:bCs/>
          <w:lang w:val="lv-LV"/>
        </w:rPr>
        <w:t>barošanās rādītāja</w:t>
      </w:r>
      <w:r w:rsidRPr="00EB0E9B">
        <w:rPr>
          <w:lang w:val="lv-LV"/>
        </w:rPr>
        <w:t xml:space="preserve"> novērtējums pieejams tikai pelēkajam ronim un tas balstās uz nomedīto vai piezvejoto roņu analīzi Zviedrijā un Somijā. Ka rāda datu analīze, tad kopš 2000-šo gadu sākuma vērojama zemādas tauku slāņa samazināšanas tendence. Pēc šī kritērija labs stāvoklis ir bijis 1993-2001. un 2002-2005. gados.</w:t>
      </w:r>
    </w:p>
    <w:p w14:paraId="48DAD3C4" w14:textId="6D95D5E0" w:rsidR="005B779A" w:rsidRPr="00EB0E9B" w:rsidRDefault="005158F8" w:rsidP="005B779A">
      <w:pPr>
        <w:spacing w:after="120"/>
        <w:jc w:val="both"/>
        <w:rPr>
          <w:b/>
          <w:bCs/>
          <w:lang w:val="lv-LV"/>
        </w:rPr>
      </w:pPr>
      <w:r w:rsidRPr="00EB0E9B">
        <w:rPr>
          <w:b/>
          <w:bCs/>
          <w:lang w:val="lv-LV"/>
        </w:rPr>
        <w:t>Izmantotie informācijas avoti un literatūra</w:t>
      </w:r>
      <w:r w:rsidR="005B779A" w:rsidRPr="00EB0E9B">
        <w:rPr>
          <w:b/>
          <w:bCs/>
          <w:lang w:val="lv-LV"/>
        </w:rPr>
        <w:t>:</w:t>
      </w:r>
    </w:p>
    <w:p w14:paraId="0DFAF074" w14:textId="56C39BAD" w:rsidR="005B779A" w:rsidRPr="00EB0E9B" w:rsidRDefault="005B779A" w:rsidP="005B779A">
      <w:pPr>
        <w:widowControl/>
        <w:spacing w:after="120"/>
        <w:ind w:left="851" w:hanging="851"/>
        <w:rPr>
          <w:lang w:val="lv-LV"/>
        </w:rPr>
      </w:pPr>
      <w:r w:rsidRPr="00EB0E9B">
        <w:rPr>
          <w:sz w:val="20"/>
          <w:szCs w:val="20"/>
          <w:lang w:val="lv-LV"/>
        </w:rPr>
        <w:t xml:space="preserve">HELCOM, 2018. </w:t>
      </w:r>
      <w:proofErr w:type="spellStart"/>
      <w:r w:rsidRPr="00EB0E9B">
        <w:rPr>
          <w:sz w:val="20"/>
          <w:szCs w:val="20"/>
          <w:lang w:val="lv-LV"/>
        </w:rPr>
        <w:t>Distribution</w:t>
      </w:r>
      <w:proofErr w:type="spellEnd"/>
      <w:r w:rsidRPr="00EB0E9B">
        <w:rPr>
          <w:sz w:val="20"/>
          <w:szCs w:val="20"/>
          <w:lang w:val="lv-LV"/>
        </w:rPr>
        <w:t xml:space="preserve"> </w:t>
      </w:r>
      <w:proofErr w:type="spellStart"/>
      <w:r w:rsidRPr="00EB0E9B">
        <w:rPr>
          <w:sz w:val="20"/>
          <w:szCs w:val="20"/>
          <w:lang w:val="lv-LV"/>
        </w:rPr>
        <w:t>of</w:t>
      </w:r>
      <w:proofErr w:type="spellEnd"/>
      <w:r w:rsidRPr="00EB0E9B">
        <w:rPr>
          <w:sz w:val="20"/>
          <w:szCs w:val="20"/>
          <w:lang w:val="lv-LV"/>
        </w:rPr>
        <w:t xml:space="preserve"> </w:t>
      </w:r>
      <w:proofErr w:type="spellStart"/>
      <w:r w:rsidRPr="00EB0E9B">
        <w:rPr>
          <w:sz w:val="20"/>
          <w:szCs w:val="20"/>
          <w:lang w:val="lv-LV"/>
        </w:rPr>
        <w:t>Baltic</w:t>
      </w:r>
      <w:proofErr w:type="spellEnd"/>
      <w:r w:rsidRPr="00EB0E9B">
        <w:rPr>
          <w:sz w:val="20"/>
          <w:szCs w:val="20"/>
          <w:lang w:val="lv-LV"/>
        </w:rPr>
        <w:t xml:space="preserve"> </w:t>
      </w:r>
      <w:proofErr w:type="spellStart"/>
      <w:r w:rsidRPr="00EB0E9B">
        <w:rPr>
          <w:sz w:val="20"/>
          <w:szCs w:val="20"/>
          <w:lang w:val="lv-LV"/>
        </w:rPr>
        <w:t>seals</w:t>
      </w:r>
      <w:proofErr w:type="spellEnd"/>
      <w:r w:rsidRPr="00EB0E9B">
        <w:rPr>
          <w:sz w:val="20"/>
          <w:szCs w:val="20"/>
          <w:lang w:val="lv-LV"/>
        </w:rPr>
        <w:t xml:space="preserve">. HELCOM </w:t>
      </w:r>
      <w:proofErr w:type="spellStart"/>
      <w:r w:rsidRPr="00EB0E9B">
        <w:rPr>
          <w:sz w:val="20"/>
          <w:szCs w:val="20"/>
          <w:lang w:val="lv-LV"/>
        </w:rPr>
        <w:t>core</w:t>
      </w:r>
      <w:proofErr w:type="spellEnd"/>
      <w:r w:rsidRPr="00EB0E9B">
        <w:rPr>
          <w:sz w:val="20"/>
          <w:szCs w:val="20"/>
          <w:lang w:val="lv-LV"/>
        </w:rPr>
        <w:t xml:space="preserve"> </w:t>
      </w:r>
      <w:proofErr w:type="spellStart"/>
      <w:r w:rsidRPr="00EB0E9B">
        <w:rPr>
          <w:sz w:val="20"/>
          <w:szCs w:val="20"/>
          <w:lang w:val="lv-LV"/>
        </w:rPr>
        <w:t>indicator</w:t>
      </w:r>
      <w:proofErr w:type="spellEnd"/>
      <w:r w:rsidRPr="00EB0E9B">
        <w:rPr>
          <w:sz w:val="20"/>
          <w:szCs w:val="20"/>
          <w:lang w:val="lv-LV"/>
        </w:rPr>
        <w:t xml:space="preserve"> </w:t>
      </w:r>
      <w:proofErr w:type="spellStart"/>
      <w:r w:rsidRPr="00EB0E9B">
        <w:rPr>
          <w:sz w:val="20"/>
          <w:szCs w:val="20"/>
          <w:lang w:val="lv-LV"/>
        </w:rPr>
        <w:t>report</w:t>
      </w:r>
      <w:proofErr w:type="spellEnd"/>
      <w:r w:rsidRPr="00EB0E9B">
        <w:rPr>
          <w:sz w:val="20"/>
          <w:szCs w:val="20"/>
          <w:lang w:val="lv-LV"/>
        </w:rPr>
        <w:t xml:space="preserve">. </w:t>
      </w:r>
      <w:r w:rsidR="005158F8" w:rsidRPr="00EB0E9B">
        <w:rPr>
          <w:sz w:val="20"/>
          <w:szCs w:val="20"/>
          <w:lang w:val="lv-LV"/>
        </w:rPr>
        <w:t xml:space="preserve">Pieejams: </w:t>
      </w:r>
      <w:r w:rsidRPr="00EB0E9B">
        <w:rPr>
          <w:sz w:val="20"/>
          <w:szCs w:val="20"/>
          <w:lang w:val="lv-LV"/>
        </w:rPr>
        <w:t xml:space="preserve">.10.10.2020, </w:t>
      </w:r>
      <w:hyperlink r:id="rId6" w:history="1">
        <w:r w:rsidR="005158F8" w:rsidRPr="00EB0E9B">
          <w:rPr>
            <w:rStyle w:val="Hyperlink"/>
            <w:sz w:val="20"/>
            <w:szCs w:val="20"/>
            <w:lang w:val="lv-LV"/>
          </w:rPr>
          <w:t>https://helcom.fi/media/core%20indicators/Distribution-of-Baltic-seals-HELCOM-core-indicator-2018.pdf</w:t>
        </w:r>
      </w:hyperlink>
      <w:r w:rsidRPr="00EB0E9B">
        <w:rPr>
          <w:lang w:val="lv-LV"/>
        </w:rPr>
        <w:br w:type="page"/>
      </w:r>
    </w:p>
    <w:p w14:paraId="6EE75B58" w14:textId="77777777" w:rsidR="005B779A" w:rsidRPr="00EB0E9B" w:rsidRDefault="005B779A" w:rsidP="005B779A">
      <w:pPr>
        <w:spacing w:after="0" w:line="240" w:lineRule="auto"/>
        <w:jc w:val="both"/>
        <w:rPr>
          <w:sz w:val="20"/>
          <w:szCs w:val="20"/>
          <w:lang w:val="lv-LV"/>
        </w:rPr>
      </w:pPr>
      <w:r w:rsidRPr="00EB0E9B">
        <w:rPr>
          <w:sz w:val="20"/>
          <w:szCs w:val="20"/>
          <w:lang w:val="lv-LV"/>
        </w:rPr>
        <w:lastRenderedPageBreak/>
        <w:t xml:space="preserve">A </w:t>
      </w:r>
    </w:p>
    <w:p w14:paraId="3CA82A91" w14:textId="77777777" w:rsidR="005B779A" w:rsidRPr="00EB0E9B" w:rsidRDefault="005B779A" w:rsidP="005B779A">
      <w:pPr>
        <w:spacing w:after="0" w:line="240" w:lineRule="auto"/>
        <w:jc w:val="center"/>
        <w:rPr>
          <w:sz w:val="24"/>
          <w:szCs w:val="24"/>
          <w:lang w:val="lv-LV"/>
        </w:rPr>
      </w:pPr>
      <w:r w:rsidRPr="00EB0E9B">
        <w:rPr>
          <w:noProof/>
          <w:sz w:val="24"/>
          <w:szCs w:val="24"/>
          <w:lang w:val="lv-LV"/>
        </w:rPr>
        <w:drawing>
          <wp:inline distT="0" distB="0" distL="0" distR="0" wp14:anchorId="27A8C4C5" wp14:editId="1091864C">
            <wp:extent cx="1645699" cy="18697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580" cy="1888953"/>
                    </a:xfrm>
                    <a:prstGeom prst="rect">
                      <a:avLst/>
                    </a:prstGeom>
                    <a:noFill/>
                    <a:ln>
                      <a:noFill/>
                    </a:ln>
                  </pic:spPr>
                </pic:pic>
              </a:graphicData>
            </a:graphic>
          </wp:inline>
        </w:drawing>
      </w:r>
    </w:p>
    <w:p w14:paraId="1A75D039" w14:textId="77777777" w:rsidR="005B779A" w:rsidRPr="00EB0E9B" w:rsidRDefault="005B779A" w:rsidP="005B779A">
      <w:pPr>
        <w:spacing w:after="0" w:line="240" w:lineRule="auto"/>
        <w:jc w:val="both"/>
        <w:rPr>
          <w:sz w:val="20"/>
          <w:szCs w:val="20"/>
          <w:lang w:val="lv-LV"/>
        </w:rPr>
      </w:pPr>
      <w:r w:rsidRPr="00EB0E9B">
        <w:rPr>
          <w:sz w:val="20"/>
          <w:szCs w:val="20"/>
          <w:lang w:val="lv-LV"/>
        </w:rPr>
        <w:t>B</w:t>
      </w:r>
    </w:p>
    <w:p w14:paraId="34C1E27D" w14:textId="77777777" w:rsidR="005B779A" w:rsidRPr="00EB0E9B" w:rsidRDefault="005B779A" w:rsidP="005B779A">
      <w:pPr>
        <w:spacing w:after="0" w:line="240" w:lineRule="auto"/>
        <w:jc w:val="center"/>
        <w:rPr>
          <w:lang w:val="lv-LV"/>
        </w:rPr>
      </w:pPr>
      <w:r w:rsidRPr="00EB0E9B">
        <w:rPr>
          <w:noProof/>
          <w:sz w:val="28"/>
          <w:szCs w:val="28"/>
          <w:lang w:val="lv-LV"/>
        </w:rPr>
        <w:drawing>
          <wp:inline distT="0" distB="0" distL="0" distR="0" wp14:anchorId="39D9C516" wp14:editId="726AAEA9">
            <wp:extent cx="1647876" cy="18749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344" cy="1913013"/>
                    </a:xfrm>
                    <a:prstGeom prst="rect">
                      <a:avLst/>
                    </a:prstGeom>
                    <a:noFill/>
                    <a:ln>
                      <a:noFill/>
                    </a:ln>
                  </pic:spPr>
                </pic:pic>
              </a:graphicData>
            </a:graphic>
          </wp:inline>
        </w:drawing>
      </w:r>
      <w:r w:rsidRPr="00EB0E9B">
        <w:rPr>
          <w:noProof/>
          <w:lang w:val="lv-LV"/>
        </w:rPr>
        <w:drawing>
          <wp:inline distT="0" distB="0" distL="0" distR="0" wp14:anchorId="01BB8927" wp14:editId="1289451C">
            <wp:extent cx="1633206" cy="1856288"/>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812" cy="1899031"/>
                    </a:xfrm>
                    <a:prstGeom prst="rect">
                      <a:avLst/>
                    </a:prstGeom>
                    <a:noFill/>
                    <a:ln>
                      <a:noFill/>
                    </a:ln>
                  </pic:spPr>
                </pic:pic>
              </a:graphicData>
            </a:graphic>
          </wp:inline>
        </w:drawing>
      </w:r>
      <w:r w:rsidRPr="00EB0E9B">
        <w:rPr>
          <w:noProof/>
          <w:lang w:val="lv-LV"/>
        </w:rPr>
        <w:drawing>
          <wp:inline distT="0" distB="0" distL="0" distR="0" wp14:anchorId="372CEF88" wp14:editId="51EE1344">
            <wp:extent cx="1603867" cy="1824858"/>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292" cy="1895884"/>
                    </a:xfrm>
                    <a:prstGeom prst="rect">
                      <a:avLst/>
                    </a:prstGeom>
                    <a:noFill/>
                    <a:ln>
                      <a:noFill/>
                    </a:ln>
                  </pic:spPr>
                </pic:pic>
              </a:graphicData>
            </a:graphic>
          </wp:inline>
        </w:drawing>
      </w:r>
    </w:p>
    <w:p w14:paraId="0D1AAFB4" w14:textId="77777777" w:rsidR="005B779A" w:rsidRPr="00EB0E9B" w:rsidRDefault="005B779A" w:rsidP="005B779A">
      <w:pPr>
        <w:spacing w:after="0" w:line="240" w:lineRule="auto"/>
        <w:jc w:val="both"/>
        <w:rPr>
          <w:sz w:val="20"/>
          <w:szCs w:val="20"/>
          <w:lang w:val="lv-LV"/>
        </w:rPr>
      </w:pPr>
      <w:r w:rsidRPr="00EB0E9B">
        <w:rPr>
          <w:sz w:val="20"/>
          <w:szCs w:val="20"/>
          <w:lang w:val="lv-LV"/>
        </w:rPr>
        <w:t>C</w:t>
      </w:r>
    </w:p>
    <w:p w14:paraId="53D33B25" w14:textId="77777777" w:rsidR="005B779A" w:rsidRPr="00EB0E9B" w:rsidRDefault="005B779A" w:rsidP="005B779A">
      <w:pPr>
        <w:spacing w:after="0" w:line="240" w:lineRule="auto"/>
        <w:jc w:val="center"/>
        <w:rPr>
          <w:lang w:val="lv-LV"/>
        </w:rPr>
      </w:pPr>
      <w:r w:rsidRPr="00EB0E9B">
        <w:rPr>
          <w:noProof/>
          <w:lang w:val="lv-LV"/>
        </w:rPr>
        <w:drawing>
          <wp:inline distT="0" distB="0" distL="0" distR="0" wp14:anchorId="3565EFE5" wp14:editId="22B0F604">
            <wp:extent cx="1647825" cy="18755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746" cy="1892547"/>
                    </a:xfrm>
                    <a:prstGeom prst="rect">
                      <a:avLst/>
                    </a:prstGeom>
                    <a:noFill/>
                    <a:ln>
                      <a:noFill/>
                    </a:ln>
                  </pic:spPr>
                </pic:pic>
              </a:graphicData>
            </a:graphic>
          </wp:inline>
        </w:drawing>
      </w:r>
      <w:r w:rsidRPr="00EB0E9B">
        <w:rPr>
          <w:noProof/>
          <w:lang w:val="lv-LV"/>
        </w:rPr>
        <w:drawing>
          <wp:inline distT="0" distB="0" distL="0" distR="0" wp14:anchorId="79DAB86A" wp14:editId="56E1A6DA">
            <wp:extent cx="1619281" cy="1843072"/>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6137" cy="1862257"/>
                    </a:xfrm>
                    <a:prstGeom prst="rect">
                      <a:avLst/>
                    </a:prstGeom>
                    <a:noFill/>
                    <a:ln>
                      <a:noFill/>
                    </a:ln>
                  </pic:spPr>
                </pic:pic>
              </a:graphicData>
            </a:graphic>
          </wp:inline>
        </w:drawing>
      </w:r>
      <w:r w:rsidRPr="00EB0E9B">
        <w:rPr>
          <w:noProof/>
          <w:lang w:val="lv-LV"/>
        </w:rPr>
        <w:drawing>
          <wp:inline distT="0" distB="0" distL="0" distR="0" wp14:anchorId="29CAEC36" wp14:editId="68D4A67C">
            <wp:extent cx="1622815" cy="1847096"/>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2463" cy="1869459"/>
                    </a:xfrm>
                    <a:prstGeom prst="rect">
                      <a:avLst/>
                    </a:prstGeom>
                    <a:noFill/>
                    <a:ln>
                      <a:noFill/>
                    </a:ln>
                  </pic:spPr>
                </pic:pic>
              </a:graphicData>
            </a:graphic>
          </wp:inline>
        </w:drawing>
      </w:r>
    </w:p>
    <w:p w14:paraId="6990E177" w14:textId="77777777" w:rsidR="005B779A" w:rsidRPr="00EB0E9B" w:rsidRDefault="005B779A" w:rsidP="005B779A">
      <w:pPr>
        <w:spacing w:after="0" w:line="240" w:lineRule="auto"/>
        <w:jc w:val="both"/>
        <w:rPr>
          <w:sz w:val="20"/>
          <w:szCs w:val="20"/>
          <w:lang w:val="lv-LV"/>
        </w:rPr>
      </w:pPr>
      <w:r w:rsidRPr="00EB0E9B">
        <w:rPr>
          <w:sz w:val="20"/>
          <w:szCs w:val="20"/>
          <w:lang w:val="lv-LV"/>
        </w:rPr>
        <w:t>D</w:t>
      </w:r>
    </w:p>
    <w:p w14:paraId="76268910" w14:textId="77777777" w:rsidR="005B779A" w:rsidRPr="00EB0E9B" w:rsidRDefault="005B779A" w:rsidP="005B779A">
      <w:pPr>
        <w:jc w:val="center"/>
        <w:rPr>
          <w:lang w:val="lv-LV"/>
        </w:rPr>
      </w:pPr>
      <w:r w:rsidRPr="00EB0E9B">
        <w:rPr>
          <w:noProof/>
          <w:lang w:val="lv-LV"/>
        </w:rPr>
        <w:drawing>
          <wp:inline distT="0" distB="0" distL="0" distR="0" wp14:anchorId="4103DF34" wp14:editId="4C96A6E8">
            <wp:extent cx="1675555" cy="1903693"/>
            <wp:effectExtent l="0" t="0" r="127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321" cy="1923878"/>
                    </a:xfrm>
                    <a:prstGeom prst="rect">
                      <a:avLst/>
                    </a:prstGeom>
                    <a:noFill/>
                    <a:ln>
                      <a:noFill/>
                    </a:ln>
                  </pic:spPr>
                </pic:pic>
              </a:graphicData>
            </a:graphic>
          </wp:inline>
        </w:drawing>
      </w:r>
    </w:p>
    <w:p w14:paraId="5F230BE3" w14:textId="39D000F9" w:rsidR="00835235" w:rsidRPr="00EB0E9B" w:rsidRDefault="005B779A" w:rsidP="005B779A">
      <w:pPr>
        <w:jc w:val="both"/>
      </w:pPr>
      <w:r w:rsidRPr="00EB0E9B">
        <w:rPr>
          <w:lang w:val="lv-LV"/>
        </w:rPr>
        <w:t xml:space="preserve">1. attēls. Roņu sugu novērtējums, izmantojot HELCOM indikatorus (HELCOM, 2018). </w:t>
      </w:r>
      <w:r w:rsidRPr="00EB0E9B">
        <w:rPr>
          <w:i/>
          <w:iCs/>
          <w:sz w:val="20"/>
          <w:szCs w:val="20"/>
          <w:lang w:val="lv-LV"/>
        </w:rPr>
        <w:t>Apzīmējumi: A – Vairošanās rādītājs, B – skaita un dinamikas rādītājs, C – izplatības rādītājs, D -barošanās rādītājs.  Pa kreisi – pogainais ronis, vidū – pelēkais ronis, pa labi – plankumainais ronis.</w:t>
      </w:r>
    </w:p>
    <w:sectPr w:rsidR="00835235" w:rsidRPr="00EB0E9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BE79" w14:textId="77777777" w:rsidR="001A20A6" w:rsidRDefault="001A20A6" w:rsidP="005158F8">
      <w:pPr>
        <w:spacing w:after="0" w:line="240" w:lineRule="auto"/>
      </w:pPr>
      <w:r>
        <w:separator/>
      </w:r>
    </w:p>
  </w:endnote>
  <w:endnote w:type="continuationSeparator" w:id="0">
    <w:p w14:paraId="1BD230A2" w14:textId="77777777" w:rsidR="001A20A6" w:rsidRDefault="001A20A6" w:rsidP="0051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399531"/>
      <w:docPartObj>
        <w:docPartGallery w:val="Page Numbers (Bottom of Page)"/>
        <w:docPartUnique/>
      </w:docPartObj>
    </w:sdtPr>
    <w:sdtEndPr>
      <w:rPr>
        <w:noProof/>
      </w:rPr>
    </w:sdtEndPr>
    <w:sdtContent>
      <w:p w14:paraId="320CA189" w14:textId="2985CBEE" w:rsidR="005158F8" w:rsidRDefault="005158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6AAA8" w14:textId="77777777" w:rsidR="005158F8" w:rsidRDefault="0051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3D23" w14:textId="77777777" w:rsidR="001A20A6" w:rsidRDefault="001A20A6" w:rsidP="005158F8">
      <w:pPr>
        <w:spacing w:after="0" w:line="240" w:lineRule="auto"/>
      </w:pPr>
      <w:r>
        <w:separator/>
      </w:r>
    </w:p>
  </w:footnote>
  <w:footnote w:type="continuationSeparator" w:id="0">
    <w:p w14:paraId="50FAAF04" w14:textId="77777777" w:rsidR="001A20A6" w:rsidRDefault="001A20A6" w:rsidP="00515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9A"/>
    <w:rsid w:val="00060B60"/>
    <w:rsid w:val="00173DA7"/>
    <w:rsid w:val="001A20A6"/>
    <w:rsid w:val="002305CA"/>
    <w:rsid w:val="00497B57"/>
    <w:rsid w:val="004B67E4"/>
    <w:rsid w:val="005158F8"/>
    <w:rsid w:val="00564CD4"/>
    <w:rsid w:val="005B779A"/>
    <w:rsid w:val="00821F61"/>
    <w:rsid w:val="00835235"/>
    <w:rsid w:val="008D2F0E"/>
    <w:rsid w:val="00D64AFC"/>
    <w:rsid w:val="00DE5DBF"/>
    <w:rsid w:val="00EB0E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6DB9"/>
  <w15:chartTrackingRefBased/>
  <w15:docId w15:val="{F7EA9C8E-F293-4F30-8FDC-86E2546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79A"/>
    <w:pPr>
      <w:widowControl w:val="0"/>
      <w:spacing w:after="200" w:line="276" w:lineRule="auto"/>
    </w:pPr>
    <w:rPr>
      <w:rFonts w:ascii="Times New Roman" w:eastAsia="Calibri" w:hAnsi="Times New Roman" w:cs="Times New Roman"/>
      <w:lang w:val="en-US"/>
    </w:rPr>
  </w:style>
  <w:style w:type="paragraph" w:styleId="Heading2">
    <w:name w:val="heading 2"/>
    <w:basedOn w:val="Normal"/>
    <w:next w:val="Normal"/>
    <w:link w:val="Heading2Char"/>
    <w:uiPriority w:val="9"/>
    <w:unhideWhenUsed/>
    <w:qFormat/>
    <w:rsid w:val="005B779A"/>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79A"/>
    <w:rPr>
      <w:rFonts w:ascii="Times New Roman" w:eastAsiaTheme="majorEastAsia" w:hAnsi="Times New Roman" w:cstheme="majorBidi"/>
      <w:b/>
      <w:color w:val="000000" w:themeColor="text1"/>
      <w:sz w:val="24"/>
      <w:szCs w:val="26"/>
      <w:lang w:val="en-US"/>
    </w:rPr>
  </w:style>
  <w:style w:type="character" w:styleId="Hyperlink">
    <w:name w:val="Hyperlink"/>
    <w:basedOn w:val="DefaultParagraphFont"/>
    <w:uiPriority w:val="99"/>
    <w:unhideWhenUsed/>
    <w:rsid w:val="005158F8"/>
    <w:rPr>
      <w:color w:val="0563C1" w:themeColor="hyperlink"/>
      <w:u w:val="single"/>
    </w:rPr>
  </w:style>
  <w:style w:type="character" w:styleId="UnresolvedMention">
    <w:name w:val="Unresolved Mention"/>
    <w:basedOn w:val="DefaultParagraphFont"/>
    <w:uiPriority w:val="99"/>
    <w:semiHidden/>
    <w:unhideWhenUsed/>
    <w:rsid w:val="005158F8"/>
    <w:rPr>
      <w:color w:val="605E5C"/>
      <w:shd w:val="clear" w:color="auto" w:fill="E1DFDD"/>
    </w:rPr>
  </w:style>
  <w:style w:type="paragraph" w:styleId="Header">
    <w:name w:val="header"/>
    <w:basedOn w:val="Normal"/>
    <w:link w:val="HeaderChar"/>
    <w:uiPriority w:val="99"/>
    <w:unhideWhenUsed/>
    <w:rsid w:val="0051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8F8"/>
    <w:rPr>
      <w:rFonts w:ascii="Times New Roman" w:eastAsia="Calibri" w:hAnsi="Times New Roman" w:cs="Times New Roman"/>
      <w:lang w:val="en-US"/>
    </w:rPr>
  </w:style>
  <w:style w:type="paragraph" w:styleId="Footer">
    <w:name w:val="footer"/>
    <w:basedOn w:val="Normal"/>
    <w:link w:val="FooterChar"/>
    <w:uiPriority w:val="99"/>
    <w:unhideWhenUsed/>
    <w:rsid w:val="0051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8F8"/>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elcom.fi/media/core%20indicators/Distribution-of-Baltic-seals-HELCOM-core-indicator-2018.pdf"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1230006886</cp:lastModifiedBy>
  <cp:revision>2</cp:revision>
  <dcterms:created xsi:type="dcterms:W3CDTF">2020-11-22T06:20:00Z</dcterms:created>
  <dcterms:modified xsi:type="dcterms:W3CDTF">2020-11-22T06:20:00Z</dcterms:modified>
</cp:coreProperties>
</file>