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F48A" w14:textId="77777777" w:rsidR="00324EF1" w:rsidRPr="00F846A9" w:rsidRDefault="00C075E2" w:rsidP="00C075E2">
      <w:pPr>
        <w:jc w:val="both"/>
        <w:rPr>
          <w:b/>
          <w:smallCaps/>
          <w:color w:val="0070C0"/>
        </w:rPr>
      </w:pPr>
      <w:r w:rsidRPr="00F846A9">
        <w:rPr>
          <w:b/>
          <w:smallCaps/>
          <w:color w:val="0070C0"/>
        </w:rPr>
        <w:t>DIENASTAURIŅU MONITORINGS</w:t>
      </w:r>
    </w:p>
    <w:p w14:paraId="672233EA" w14:textId="77777777" w:rsidR="00324EF1" w:rsidRPr="005113BC" w:rsidRDefault="00324EF1" w:rsidP="00324EF1">
      <w:pPr>
        <w:jc w:val="both"/>
      </w:pPr>
    </w:p>
    <w:p w14:paraId="262E737F" w14:textId="77777777" w:rsidR="00C075E2" w:rsidRPr="00F846A9" w:rsidRDefault="00C075E2" w:rsidP="00C075E2">
      <w:pPr>
        <w:pStyle w:val="ListParagraph"/>
        <w:numPr>
          <w:ilvl w:val="0"/>
          <w:numId w:val="2"/>
        </w:numPr>
        <w:ind w:left="284" w:hanging="284"/>
        <w:jc w:val="both"/>
        <w:rPr>
          <w:b/>
          <w:color w:val="0070C0"/>
        </w:rPr>
      </w:pPr>
      <w:r w:rsidRPr="00F846A9">
        <w:rPr>
          <w:b/>
          <w:color w:val="0070C0"/>
        </w:rPr>
        <w:t>Monitorējamās dienastauriņu sugas</w:t>
      </w:r>
    </w:p>
    <w:p w14:paraId="5F11A0A8" w14:textId="77777777" w:rsidR="00C075E2" w:rsidRPr="005113BC" w:rsidRDefault="00C075E2" w:rsidP="00C075E2">
      <w:pPr>
        <w:jc w:val="both"/>
        <w:rPr>
          <w:b/>
        </w:rPr>
      </w:pPr>
    </w:p>
    <w:p w14:paraId="424D3ED9" w14:textId="19E3F793" w:rsidR="00C075E2" w:rsidRPr="005113BC" w:rsidRDefault="00C075E2" w:rsidP="00C075E2">
      <w:pPr>
        <w:jc w:val="both"/>
      </w:pPr>
      <w:r w:rsidRPr="005113BC">
        <w:t>Pr</w:t>
      </w:r>
      <w:r w:rsidR="00CC5C16">
        <w:t>ioritār</w:t>
      </w:r>
      <w:r w:rsidRPr="005113BC">
        <w:t>i monitorējamas Padomes Direktīvā 92/43/EEK “Par dabisko dzīvotņu, savvaļas faunas un floras aizsardzību (Biotopu direktīva)” II pielikumā iekļautās sugas:</w:t>
      </w:r>
    </w:p>
    <w:p w14:paraId="2870E14D" w14:textId="77777777" w:rsidR="00C075E2" w:rsidRPr="005113BC" w:rsidRDefault="00C075E2" w:rsidP="00C075E2">
      <w:pPr>
        <w:jc w:val="both"/>
        <w:rPr>
          <w:b/>
        </w:rPr>
      </w:pPr>
    </w:p>
    <w:p w14:paraId="0D8011FB" w14:textId="77777777" w:rsidR="001E6727" w:rsidRPr="005113BC" w:rsidRDefault="001E6727" w:rsidP="00C075E2">
      <w:pPr>
        <w:pStyle w:val="ListParagraph"/>
        <w:numPr>
          <w:ilvl w:val="0"/>
          <w:numId w:val="3"/>
        </w:numPr>
        <w:jc w:val="both"/>
      </w:pPr>
      <w:r w:rsidRPr="005113BC">
        <w:t xml:space="preserve">skabiozu pļavraibenis </w:t>
      </w:r>
      <w:r w:rsidRPr="005113BC">
        <w:rPr>
          <w:i/>
          <w:iCs/>
        </w:rPr>
        <w:t xml:space="preserve">Euphydryas aurinia </w:t>
      </w:r>
      <w:r w:rsidRPr="005113BC">
        <w:rPr>
          <w:iCs/>
        </w:rPr>
        <w:t>(Eup auri);</w:t>
      </w:r>
    </w:p>
    <w:p w14:paraId="053E76D8" w14:textId="77777777" w:rsidR="001E6727" w:rsidRPr="005113BC" w:rsidRDefault="001E6727" w:rsidP="00C075E2">
      <w:pPr>
        <w:pStyle w:val="ListParagraph"/>
        <w:numPr>
          <w:ilvl w:val="0"/>
          <w:numId w:val="3"/>
        </w:numPr>
        <w:jc w:val="both"/>
      </w:pPr>
      <w:r w:rsidRPr="005113BC">
        <w:rPr>
          <w:iCs/>
        </w:rPr>
        <w:t>o</w:t>
      </w:r>
      <w:r w:rsidRPr="005113BC">
        <w:t xml:space="preserve">šu pļavraibenis </w:t>
      </w:r>
      <w:r w:rsidRPr="005113BC">
        <w:rPr>
          <w:i/>
          <w:iCs/>
        </w:rPr>
        <w:t>Hypodryas maturna</w:t>
      </w:r>
      <w:r w:rsidRPr="005113BC">
        <w:rPr>
          <w:iCs/>
        </w:rPr>
        <w:t xml:space="preserve"> (Hyp matu);</w:t>
      </w:r>
    </w:p>
    <w:p w14:paraId="4861F9D6" w14:textId="77777777" w:rsidR="001E6727" w:rsidRPr="005113BC" w:rsidRDefault="001E6727" w:rsidP="00C075E2">
      <w:pPr>
        <w:pStyle w:val="ListParagraph"/>
        <w:numPr>
          <w:ilvl w:val="0"/>
          <w:numId w:val="3"/>
        </w:numPr>
        <w:jc w:val="both"/>
      </w:pPr>
      <w:r w:rsidRPr="005113BC">
        <w:rPr>
          <w:iCs/>
        </w:rPr>
        <w:t>z</w:t>
      </w:r>
      <w:r w:rsidRPr="005113BC">
        <w:t xml:space="preserve">irgskābeņu zilenītis </w:t>
      </w:r>
      <w:r w:rsidRPr="005113BC">
        <w:rPr>
          <w:i/>
          <w:iCs/>
        </w:rPr>
        <w:t xml:space="preserve">Lycaena dispar </w:t>
      </w:r>
      <w:r w:rsidRPr="005113BC">
        <w:rPr>
          <w:iCs/>
        </w:rPr>
        <w:t xml:space="preserve">(Lyc disp); </w:t>
      </w:r>
    </w:p>
    <w:p w14:paraId="71BA5783" w14:textId="77777777" w:rsidR="001E6727" w:rsidRPr="005113BC" w:rsidRDefault="001E6727" w:rsidP="00C075E2">
      <w:pPr>
        <w:pStyle w:val="ListParagraph"/>
        <w:numPr>
          <w:ilvl w:val="0"/>
          <w:numId w:val="3"/>
        </w:numPr>
        <w:jc w:val="both"/>
      </w:pPr>
      <w:r w:rsidRPr="005113BC">
        <w:rPr>
          <w:iCs/>
        </w:rPr>
        <w:t>b</w:t>
      </w:r>
      <w:r w:rsidRPr="005113BC">
        <w:t xml:space="preserve">rūnvālīšu zilenītis </w:t>
      </w:r>
      <w:r w:rsidRPr="005113BC">
        <w:rPr>
          <w:i/>
          <w:iCs/>
        </w:rPr>
        <w:t xml:space="preserve">Maculinea teleius </w:t>
      </w:r>
      <w:r w:rsidR="00FF237A" w:rsidRPr="005113BC">
        <w:rPr>
          <w:iCs/>
        </w:rPr>
        <w:t>(Mac tele).</w:t>
      </w:r>
    </w:p>
    <w:p w14:paraId="14BC3574" w14:textId="77777777" w:rsidR="00C075E2" w:rsidRPr="005113BC" w:rsidRDefault="00C075E2" w:rsidP="00C075E2">
      <w:pPr>
        <w:pStyle w:val="ListParagraph"/>
        <w:ind w:left="1080"/>
        <w:jc w:val="both"/>
      </w:pPr>
    </w:p>
    <w:p w14:paraId="135B562B" w14:textId="0DC832CD" w:rsidR="00C075E2" w:rsidRPr="005113BC" w:rsidRDefault="00C075E2" w:rsidP="00C075E2">
      <w:pPr>
        <w:jc w:val="both"/>
      </w:pPr>
      <w:r w:rsidRPr="005113BC">
        <w:t xml:space="preserve">Papildus ir uzskaitāmi dati arī par Biotopu direktīvas IV </w:t>
      </w:r>
      <w:r w:rsidR="007C30FA" w:rsidRPr="005113BC">
        <w:t>pielikumā iekļautajām</w:t>
      </w:r>
      <w:r w:rsidRPr="005113BC">
        <w:t xml:space="preserve"> </w:t>
      </w:r>
      <w:r w:rsidR="007C30FA" w:rsidRPr="005113BC">
        <w:t>dienastauriņu</w:t>
      </w:r>
      <w:r w:rsidRPr="005113BC">
        <w:t xml:space="preserve"> sugām. Šo zemākas prioritātes sugu uzskaites </w:t>
      </w:r>
      <w:r w:rsidR="00506BE5">
        <w:t xml:space="preserve">iespēju robežās </w:t>
      </w:r>
      <w:r w:rsidRPr="005113BC">
        <w:t>ir veicamas vienlaikus ar II direktīvas pielikumā iekļauto</w:t>
      </w:r>
      <w:r w:rsidR="007C30FA" w:rsidRPr="005113BC">
        <w:t xml:space="preserve"> dienastauriņu</w:t>
      </w:r>
      <w:r w:rsidRPr="005113BC">
        <w:t xml:space="preserve"> sugu uzskaiti. Biotopu direktīvas IV pielikumā iekļautās sugas: </w:t>
      </w:r>
    </w:p>
    <w:p w14:paraId="32057DD9" w14:textId="77777777" w:rsidR="00C075E2" w:rsidRPr="005113BC" w:rsidRDefault="00C075E2" w:rsidP="00C075E2">
      <w:pPr>
        <w:jc w:val="both"/>
      </w:pPr>
    </w:p>
    <w:p w14:paraId="17B9B996" w14:textId="77777777" w:rsidR="007C30FA" w:rsidRPr="005113BC" w:rsidRDefault="007C30FA" w:rsidP="007C30FA">
      <w:pPr>
        <w:pStyle w:val="ListParagraph"/>
        <w:numPr>
          <w:ilvl w:val="0"/>
          <w:numId w:val="3"/>
        </w:numPr>
        <w:jc w:val="both"/>
      </w:pPr>
      <w:r w:rsidRPr="005113BC">
        <w:t xml:space="preserve">meža sīksamtenis </w:t>
      </w:r>
      <w:r w:rsidRPr="005113BC">
        <w:rPr>
          <w:i/>
        </w:rPr>
        <w:t>Coenonympha hero</w:t>
      </w:r>
      <w:r w:rsidRPr="005113BC">
        <w:rPr>
          <w:iCs/>
        </w:rPr>
        <w:t xml:space="preserve"> (Coe hero);</w:t>
      </w:r>
    </w:p>
    <w:p w14:paraId="4B117B78" w14:textId="77777777" w:rsidR="007C30FA" w:rsidRPr="005113BC" w:rsidRDefault="007C30FA" w:rsidP="007C30FA">
      <w:pPr>
        <w:pStyle w:val="ListParagraph"/>
        <w:numPr>
          <w:ilvl w:val="0"/>
          <w:numId w:val="3"/>
        </w:numPr>
        <w:jc w:val="both"/>
      </w:pPr>
      <w:r w:rsidRPr="005113BC">
        <w:t xml:space="preserve">gāršas samtenis </w:t>
      </w:r>
      <w:r w:rsidRPr="005113BC">
        <w:rPr>
          <w:i/>
        </w:rPr>
        <w:t>Lopinga achine</w:t>
      </w:r>
      <w:r w:rsidRPr="005113BC">
        <w:rPr>
          <w:iCs/>
        </w:rPr>
        <w:t xml:space="preserve"> (Lop achi);</w:t>
      </w:r>
    </w:p>
    <w:p w14:paraId="78BA8B79" w14:textId="77777777" w:rsidR="007C30FA" w:rsidRPr="005113BC" w:rsidRDefault="007C30FA" w:rsidP="007C30FA">
      <w:pPr>
        <w:pStyle w:val="ListParagraph"/>
        <w:numPr>
          <w:ilvl w:val="0"/>
          <w:numId w:val="3"/>
        </w:numPr>
        <w:jc w:val="both"/>
      </w:pPr>
      <w:r w:rsidRPr="005113BC">
        <w:t xml:space="preserve">lielais viršu zilenītis </w:t>
      </w:r>
      <w:r w:rsidRPr="005113BC">
        <w:rPr>
          <w:i/>
        </w:rPr>
        <w:t>Maculinea arion</w:t>
      </w:r>
      <w:r w:rsidRPr="005113BC">
        <w:rPr>
          <w:i/>
          <w:iCs/>
        </w:rPr>
        <w:t xml:space="preserve"> </w:t>
      </w:r>
      <w:r w:rsidRPr="005113BC">
        <w:rPr>
          <w:iCs/>
        </w:rPr>
        <w:t xml:space="preserve">(Mac ari); </w:t>
      </w:r>
    </w:p>
    <w:p w14:paraId="27859BD7" w14:textId="77777777" w:rsidR="007C30FA" w:rsidRPr="005113BC" w:rsidRDefault="007C30FA" w:rsidP="007C30FA">
      <w:pPr>
        <w:pStyle w:val="ListParagraph"/>
        <w:numPr>
          <w:ilvl w:val="0"/>
          <w:numId w:val="3"/>
        </w:numPr>
        <w:jc w:val="both"/>
      </w:pPr>
      <w:r w:rsidRPr="005113BC">
        <w:t>cīrulīšu dižtauriņš Parnassius mnemosyne</w:t>
      </w:r>
      <w:r w:rsidRPr="005113BC">
        <w:rPr>
          <w:iCs/>
        </w:rPr>
        <w:t xml:space="preserve"> (Par mnem);</w:t>
      </w:r>
    </w:p>
    <w:p w14:paraId="7ACAFCD3" w14:textId="4E226554" w:rsidR="007C30FA" w:rsidRPr="005113BC" w:rsidRDefault="00FF237A" w:rsidP="00C075E2">
      <w:pPr>
        <w:pStyle w:val="ListParagraph"/>
        <w:numPr>
          <w:ilvl w:val="0"/>
          <w:numId w:val="3"/>
        </w:numPr>
        <w:jc w:val="both"/>
      </w:pPr>
      <w:r w:rsidRPr="005113BC">
        <w:t>z</w:t>
      </w:r>
      <w:r w:rsidR="00CC2969" w:rsidRPr="005113BC">
        <w:t>obspārnu sfings</w:t>
      </w:r>
      <w:r w:rsidR="007C30FA" w:rsidRPr="005113BC">
        <w:t xml:space="preserve"> </w:t>
      </w:r>
      <w:r w:rsidR="007C30FA" w:rsidRPr="005113BC">
        <w:rPr>
          <w:i/>
        </w:rPr>
        <w:t>Proserpinus proserpina</w:t>
      </w:r>
      <w:r w:rsidR="007C30FA" w:rsidRPr="005113BC">
        <w:t xml:space="preserve"> (Pro pros).</w:t>
      </w:r>
    </w:p>
    <w:p w14:paraId="58522B01" w14:textId="77777777" w:rsidR="00CC2969" w:rsidRPr="005113BC" w:rsidRDefault="00CC2969" w:rsidP="00731538">
      <w:pPr>
        <w:rPr>
          <w:b/>
          <w:sz w:val="20"/>
          <w:szCs w:val="20"/>
        </w:rPr>
      </w:pPr>
    </w:p>
    <w:p w14:paraId="6348A50B" w14:textId="77777777" w:rsidR="00FF237A" w:rsidRPr="00F846A9" w:rsidRDefault="00FF237A" w:rsidP="00FF237A">
      <w:pPr>
        <w:pStyle w:val="ListParagraph"/>
        <w:numPr>
          <w:ilvl w:val="0"/>
          <w:numId w:val="2"/>
        </w:numPr>
        <w:ind w:left="284" w:hanging="284"/>
        <w:rPr>
          <w:b/>
          <w:color w:val="0070C0"/>
        </w:rPr>
      </w:pPr>
      <w:r w:rsidRPr="00F846A9">
        <w:rPr>
          <w:b/>
          <w:color w:val="0070C0"/>
        </w:rPr>
        <w:t>Monitorējamo vietu izvēle</w:t>
      </w:r>
    </w:p>
    <w:p w14:paraId="380A84B1" w14:textId="77777777" w:rsidR="00251FE5" w:rsidRPr="005113BC" w:rsidRDefault="00251FE5" w:rsidP="00251FE5">
      <w:pPr>
        <w:jc w:val="both"/>
        <w:rPr>
          <w:highlight w:val="yellow"/>
        </w:rPr>
      </w:pPr>
    </w:p>
    <w:p w14:paraId="3EBBDF35" w14:textId="2CC2666B" w:rsidR="006C7A06" w:rsidRPr="005113BC" w:rsidRDefault="00251FE5" w:rsidP="006C7A06">
      <w:pPr>
        <w:jc w:val="both"/>
      </w:pPr>
      <w:r w:rsidRPr="005113BC">
        <w:t>Dienastauriņu monitoringam izvēlētā metode ir</w:t>
      </w:r>
      <w:r w:rsidR="006C7A06" w:rsidRPr="005113BC">
        <w:t xml:space="preserve"> </w:t>
      </w:r>
      <w:r w:rsidRPr="005113BC">
        <w:t>pieaugušu īpatņu (imago) uzskaite maršrutos</w:t>
      </w:r>
      <w:r w:rsidR="00CC5C16">
        <w:t>.</w:t>
      </w:r>
      <w:r w:rsidRPr="005113BC">
        <w:t xml:space="preserve"> </w:t>
      </w:r>
      <w:r w:rsidR="00CC5C16">
        <w:t>Šī metode</w:t>
      </w:r>
      <w:r w:rsidR="00CC5C16" w:rsidRPr="005113BC">
        <w:t xml:space="preserve"> </w:t>
      </w:r>
      <w:r w:rsidRPr="005113BC">
        <w:t>ir izmantojama visu monitoringa metodikā iekļauto</w:t>
      </w:r>
      <w:r w:rsidR="00605A10">
        <w:t xml:space="preserve"> prioritāri monitorējamo</w:t>
      </w:r>
      <w:r w:rsidRPr="005113BC">
        <w:t xml:space="preserve"> </w:t>
      </w:r>
      <w:r w:rsidR="00605A10" w:rsidRPr="005113BC">
        <w:t xml:space="preserve">sugu </w:t>
      </w:r>
      <w:r w:rsidRPr="005113BC">
        <w:t xml:space="preserve">uzskaitei. Monitoringa metodikas ietvaros izveidotie uzskaites maršruti ir </w:t>
      </w:r>
      <w:r w:rsidR="006C7A06" w:rsidRPr="005113BC">
        <w:t xml:space="preserve">paredzēti </w:t>
      </w:r>
      <w:r w:rsidRPr="005113BC">
        <w:t xml:space="preserve">skabiozu pļavraibeņa, </w:t>
      </w:r>
      <w:r w:rsidRPr="005113BC">
        <w:rPr>
          <w:iCs/>
        </w:rPr>
        <w:t>o</w:t>
      </w:r>
      <w:r w:rsidRPr="005113BC">
        <w:t xml:space="preserve">šu pļavraibeņa, </w:t>
      </w:r>
      <w:r w:rsidRPr="005113BC">
        <w:rPr>
          <w:iCs/>
        </w:rPr>
        <w:t>z</w:t>
      </w:r>
      <w:r w:rsidRPr="005113BC">
        <w:t>irgskābeņu zilenī</w:t>
      </w:r>
      <w:r w:rsidR="006C7A06" w:rsidRPr="005113BC">
        <w:t>ša un</w:t>
      </w:r>
      <w:r w:rsidRPr="005113BC">
        <w:t xml:space="preserve"> </w:t>
      </w:r>
      <w:r w:rsidRPr="005113BC">
        <w:rPr>
          <w:iCs/>
        </w:rPr>
        <w:t>b</w:t>
      </w:r>
      <w:r w:rsidRPr="005113BC">
        <w:t>rūnvālīšu zilenī</w:t>
      </w:r>
      <w:r w:rsidR="006C7A06" w:rsidRPr="005113BC">
        <w:t>ša</w:t>
      </w:r>
      <w:r w:rsidRPr="005113BC">
        <w:t xml:space="preserve"> </w:t>
      </w:r>
      <w:r w:rsidR="006C7A06" w:rsidRPr="005113BC">
        <w:rPr>
          <w:iCs/>
        </w:rPr>
        <w:t>uzskaitēm.</w:t>
      </w:r>
      <w:r w:rsidRPr="005113BC">
        <w:t xml:space="preserve"> </w:t>
      </w:r>
      <w:r w:rsidRPr="005113BC">
        <w:rPr>
          <w:iCs/>
        </w:rPr>
        <w:t>Papildus šo metodi var izmantot arī vienlaicīgam citu īpaši aizsargājamo dienastauriņu sugu monitoringam.</w:t>
      </w:r>
      <w:r w:rsidR="006C7A06" w:rsidRPr="005113BC">
        <w:rPr>
          <w:iCs/>
        </w:rPr>
        <w:t xml:space="preserve"> Papildus monitorējamām sugām piemērotie biotopi ir atzīmēti </w:t>
      </w:r>
      <w:r w:rsidR="00686A57">
        <w:rPr>
          <w:iCs/>
        </w:rPr>
        <w:t>2</w:t>
      </w:r>
      <w:r w:rsidR="006C7A06" w:rsidRPr="005113BC">
        <w:rPr>
          <w:iCs/>
        </w:rPr>
        <w:t xml:space="preserve">. tabulā. Veicot maršrutu apsekošanu ir jāpievērš uzmanība </w:t>
      </w:r>
      <w:r w:rsidR="006C7A06" w:rsidRPr="005113BC">
        <w:t>meža sīksamteņa, gāršas samteņa, lielā viršu zilenīša, cīrulīšu dižtauriņa un zobspārnu sfinga sastopamības iespējai konkrētajā biotopā, ņemot vērā šo sugu lidošanas fenoloģiju.</w:t>
      </w:r>
    </w:p>
    <w:p w14:paraId="1A797B6B" w14:textId="01944C54" w:rsidR="00251FE5" w:rsidRPr="005113BC" w:rsidRDefault="00251FE5" w:rsidP="006C7A06">
      <w:pPr>
        <w:pStyle w:val="ListParagraph"/>
        <w:ind w:left="0"/>
        <w:jc w:val="both"/>
      </w:pPr>
      <w:r w:rsidRPr="005113BC">
        <w:rPr>
          <w:iCs/>
        </w:rPr>
        <w:t>Dienastauriņu maršrutu uzskaites ir plaši izmantota un aprobēta metode visā Eiropā (</w:t>
      </w:r>
      <w:r w:rsidR="009D6158" w:rsidRPr="005113BC">
        <w:t>van Swaay et al.</w:t>
      </w:r>
      <w:r w:rsidR="009D6158" w:rsidRPr="005113BC">
        <w:rPr>
          <w:iCs/>
        </w:rPr>
        <w:t xml:space="preserve"> </w:t>
      </w:r>
      <w:r w:rsidRPr="005113BC">
        <w:rPr>
          <w:iCs/>
        </w:rPr>
        <w:t xml:space="preserve">2008). </w:t>
      </w:r>
    </w:p>
    <w:p w14:paraId="26B63518" w14:textId="77777777" w:rsidR="00251FE5" w:rsidRPr="005113BC" w:rsidRDefault="00251FE5" w:rsidP="00731538">
      <w:pPr>
        <w:rPr>
          <w:b/>
          <w:sz w:val="20"/>
          <w:szCs w:val="20"/>
        </w:rPr>
      </w:pPr>
    </w:p>
    <w:p w14:paraId="6EA4CEDE" w14:textId="7E6B50DA" w:rsidR="00677625" w:rsidRPr="005113BC" w:rsidRDefault="00596388" w:rsidP="00596388">
      <w:pPr>
        <w:jc w:val="both"/>
      </w:pPr>
      <w:r w:rsidRPr="005113BC">
        <w:t xml:space="preserve">Monitoringa metodikas </w:t>
      </w:r>
      <w:r w:rsidR="00844200" w:rsidRPr="005113BC">
        <w:t>1</w:t>
      </w:r>
      <w:r w:rsidRPr="005113BC">
        <w:t xml:space="preserve">.pielikumā ir pieejami </w:t>
      </w:r>
      <w:r w:rsidR="00677625" w:rsidRPr="005113BC">
        <w:t>ģeotelpiskie</w:t>
      </w:r>
      <w:r w:rsidRPr="005113BC">
        <w:t xml:space="preserve"> dati, kuros </w:t>
      </w:r>
      <w:r w:rsidR="00677625" w:rsidRPr="005113BC">
        <w:t>ietverta</w:t>
      </w:r>
      <w:r w:rsidRPr="005113BC">
        <w:t xml:space="preserve"> informācija par dienastauriņu uzskaites maršrutiem visām Natura 2000 teritorijām, kurās ir zināmas skabiozu pļavraibeņa </w:t>
      </w:r>
      <w:r w:rsidRPr="005113BC">
        <w:rPr>
          <w:i/>
          <w:iCs/>
        </w:rPr>
        <w:t>Euphydryas aurinia</w:t>
      </w:r>
      <w:r w:rsidRPr="005113BC">
        <w:rPr>
          <w:iCs/>
        </w:rPr>
        <w:t>,</w:t>
      </w:r>
      <w:r w:rsidRPr="005113BC">
        <w:t xml:space="preserve"> </w:t>
      </w:r>
      <w:r w:rsidRPr="005113BC">
        <w:rPr>
          <w:iCs/>
        </w:rPr>
        <w:t>o</w:t>
      </w:r>
      <w:r w:rsidRPr="005113BC">
        <w:t xml:space="preserve">šu pļavraibeņa </w:t>
      </w:r>
      <w:r w:rsidRPr="005113BC">
        <w:rPr>
          <w:i/>
          <w:iCs/>
        </w:rPr>
        <w:t>Euphydryas maturna</w:t>
      </w:r>
      <w:r w:rsidRPr="005113BC">
        <w:rPr>
          <w:iCs/>
        </w:rPr>
        <w:t>, z</w:t>
      </w:r>
      <w:r w:rsidRPr="005113BC">
        <w:t xml:space="preserve">irgskābeņu zilenīša </w:t>
      </w:r>
      <w:r w:rsidRPr="005113BC">
        <w:rPr>
          <w:i/>
          <w:iCs/>
        </w:rPr>
        <w:t>Lycaena dispar</w:t>
      </w:r>
      <w:r w:rsidRPr="005113BC">
        <w:rPr>
          <w:iCs/>
        </w:rPr>
        <w:t xml:space="preserve"> un b</w:t>
      </w:r>
      <w:r w:rsidRPr="005113BC">
        <w:t xml:space="preserve">rūnvālīšu zilenīša </w:t>
      </w:r>
      <w:r w:rsidRPr="005113BC">
        <w:rPr>
          <w:i/>
          <w:iCs/>
        </w:rPr>
        <w:t>Phengaris teleius</w:t>
      </w:r>
      <w:r w:rsidRPr="005113BC">
        <w:rPr>
          <w:szCs w:val="20"/>
        </w:rPr>
        <w:t xml:space="preserve"> atradnes. </w:t>
      </w:r>
      <w:r w:rsidR="00677625" w:rsidRPr="005113BC">
        <w:t xml:space="preserve">Monitoringa </w:t>
      </w:r>
      <w:r w:rsidR="00677625" w:rsidRPr="00794DE6">
        <w:t xml:space="preserve">metodikas </w:t>
      </w:r>
      <w:r w:rsidR="00844200" w:rsidRPr="00794DE6">
        <w:t>2</w:t>
      </w:r>
      <w:r w:rsidR="00677625" w:rsidRPr="006A18E8">
        <w:t>.</w:t>
      </w:r>
      <w:r w:rsidR="00677625" w:rsidRPr="00DF7F2A">
        <w:t xml:space="preserve"> </w:t>
      </w:r>
      <w:r w:rsidR="00677625" w:rsidRPr="00794DE6">
        <w:t>pielikumā</w:t>
      </w:r>
      <w:r w:rsidR="00677625" w:rsidRPr="005113BC">
        <w:t xml:space="preserve"> sniegts apkopojums par dienastauriņu uzskaišu</w:t>
      </w:r>
      <w:r w:rsidR="004A2054" w:rsidRPr="005113BC">
        <w:t xml:space="preserve"> vienību skaitu katrā</w:t>
      </w:r>
      <w:r w:rsidR="00677625" w:rsidRPr="005113BC">
        <w:t xml:space="preserve"> </w:t>
      </w:r>
      <w:r w:rsidR="004A2054" w:rsidRPr="005113BC">
        <w:t>Natura 2000 teritorijā.</w:t>
      </w:r>
      <w:r w:rsidR="00677625" w:rsidRPr="005113BC">
        <w:t xml:space="preserve"> </w:t>
      </w:r>
    </w:p>
    <w:p w14:paraId="12657EDA" w14:textId="77777777" w:rsidR="00677625" w:rsidRPr="005113BC" w:rsidRDefault="00677625" w:rsidP="00596388">
      <w:pPr>
        <w:jc w:val="both"/>
      </w:pPr>
    </w:p>
    <w:p w14:paraId="1E0350B2" w14:textId="14B16074" w:rsidR="00596388" w:rsidRPr="005113BC" w:rsidRDefault="00596388" w:rsidP="00596388">
      <w:pPr>
        <w:jc w:val="both"/>
      </w:pPr>
      <w:r w:rsidRPr="005113BC">
        <w:rPr>
          <w:szCs w:val="20"/>
        </w:rPr>
        <w:t xml:space="preserve">Uzskaites maršruti sākotnēji tiek iezīmēti kamerāli un pirmajā monitoringa īstenošanas gadā tie tiek precizēti dabā. Gadījumā, ja tiek konstatētas Biotopu direktīvas II pielikuma dienastauriņu sugu atradnes teritorijās, kur tās iepriekš nebija zināmas, monitoringa realizētājs veic datu atlasi un kamerāli iezīmē uzskaites maršrutus, balstoties uz piemēroto biotopu īpatsvaru </w:t>
      </w:r>
      <w:r w:rsidR="005113BC" w:rsidRPr="005113BC">
        <w:rPr>
          <w:szCs w:val="20"/>
        </w:rPr>
        <w:t>konkr</w:t>
      </w:r>
      <w:r w:rsidR="005113BC">
        <w:rPr>
          <w:szCs w:val="20"/>
        </w:rPr>
        <w:t>ē</w:t>
      </w:r>
      <w:r w:rsidR="005113BC" w:rsidRPr="005113BC">
        <w:rPr>
          <w:szCs w:val="20"/>
        </w:rPr>
        <w:t xml:space="preserve">tajā </w:t>
      </w:r>
      <w:r w:rsidRPr="005113BC">
        <w:rPr>
          <w:szCs w:val="20"/>
        </w:rPr>
        <w:t>Natura 2000 teritorijā.</w:t>
      </w:r>
    </w:p>
    <w:p w14:paraId="152EAB25" w14:textId="77777777" w:rsidR="00596388" w:rsidRPr="005113BC" w:rsidRDefault="00596388" w:rsidP="00596388">
      <w:pPr>
        <w:jc w:val="both"/>
      </w:pPr>
    </w:p>
    <w:p w14:paraId="034854BE" w14:textId="03EFDE5F" w:rsidR="00FF237A" w:rsidRPr="005113BC" w:rsidRDefault="00596388" w:rsidP="009748F2">
      <w:pPr>
        <w:jc w:val="both"/>
      </w:pPr>
      <w:r w:rsidRPr="005113BC">
        <w:lastRenderedPageBreak/>
        <w:t xml:space="preserve">Lai noskaidrotu sugu populācijas stāvokli to apdzīvotajos biotopos, uzskaišu maršruti veidojami gan sugas kāpuru attīstībai potenciāli piemērotajos </w:t>
      </w:r>
      <w:r w:rsidR="00643FB8" w:rsidRPr="005113BC">
        <w:t>optimālajos</w:t>
      </w:r>
      <w:r w:rsidRPr="005113BC">
        <w:t xml:space="preserve">, gan </w:t>
      </w:r>
      <w:r w:rsidR="00643FB8" w:rsidRPr="005113BC">
        <w:t>suboptimālajos</w:t>
      </w:r>
      <w:r w:rsidRPr="005113BC">
        <w:t xml:space="preserve"> biotopos, atbilstoši to pārstāvniecībai konkrētajā Natura 2000 teritorijā (</w:t>
      </w:r>
      <w:r w:rsidR="00686A57">
        <w:t>2</w:t>
      </w:r>
      <w:r w:rsidRPr="005113BC">
        <w:t>. tabula).</w:t>
      </w:r>
      <w:r w:rsidR="0003315C" w:rsidRPr="005113BC">
        <w:t xml:space="preserve"> </w:t>
      </w:r>
      <w:r w:rsidR="00652186" w:rsidRPr="005113BC">
        <w:t>Primāri monitoringa transektes veido vietās, kurās zināmas sugas iepriekšējās atradnes vai sugai piemēroti biotopi</w:t>
      </w:r>
      <w:r w:rsidR="0003315C" w:rsidRPr="005113BC">
        <w:t xml:space="preserve">. </w:t>
      </w:r>
      <w:r w:rsidR="009E516F" w:rsidRPr="005113BC">
        <w:t xml:space="preserve">Tiek ņemtas vērā </w:t>
      </w:r>
      <w:r w:rsidR="00FF237A" w:rsidRPr="005113BC">
        <w:t xml:space="preserve">katras sugas </w:t>
      </w:r>
      <w:r w:rsidR="009E516F" w:rsidRPr="005113BC">
        <w:t>ekoloģiskās</w:t>
      </w:r>
      <w:r w:rsidR="00FF237A" w:rsidRPr="005113BC">
        <w:t xml:space="preserve"> prasības, piemēram, mitrāja tuvums zirgskābeņu zilenītim vai ošu mež</w:t>
      </w:r>
      <w:r w:rsidR="00686A57">
        <w:t xml:space="preserve">a un </w:t>
      </w:r>
      <w:r w:rsidR="00445EE6">
        <w:t>zālāja ekoton</w:t>
      </w:r>
      <w:r w:rsidR="006A18E8">
        <w:t>a josla</w:t>
      </w:r>
      <w:r w:rsidR="00445EE6">
        <w:t xml:space="preserve"> </w:t>
      </w:r>
      <w:r w:rsidR="009E516F" w:rsidRPr="005113BC">
        <w:t>ošu pļavraibenim</w:t>
      </w:r>
      <w:r w:rsidR="00FF237A" w:rsidRPr="005113BC">
        <w:t>.</w:t>
      </w:r>
    </w:p>
    <w:p w14:paraId="3B5DAE74" w14:textId="77777777" w:rsidR="009748F2" w:rsidRPr="005113BC" w:rsidRDefault="009748F2" w:rsidP="009748F2">
      <w:pPr>
        <w:jc w:val="both"/>
        <w:rPr>
          <w:highlight w:val="yellow"/>
        </w:rPr>
      </w:pPr>
    </w:p>
    <w:p w14:paraId="08E7B094" w14:textId="54E5D3BD" w:rsidR="00FF237A" w:rsidRPr="005113BC" w:rsidRDefault="00FF237A" w:rsidP="009748F2">
      <w:pPr>
        <w:jc w:val="both"/>
      </w:pPr>
      <w:r w:rsidRPr="005113BC">
        <w:t>No racionālā viedokļa punktus var izvēlēties vietās, kur iespējams piekļūt, Lubāna mitrājs ir</w:t>
      </w:r>
      <w:r w:rsidR="006A18E8">
        <w:t xml:space="preserve"> </w:t>
      </w:r>
      <w:r w:rsidRPr="005113BC">
        <w:t xml:space="preserve"> raksturīgs piemērs</w:t>
      </w:r>
      <w:r w:rsidR="006A18E8">
        <w:t xml:space="preserve"> teritorijai, kur daļa no tauriņiem piemērotiem poligoniem atrodas grūti sasniedzamās vietās, tāpēc jāizvērtē to apsekošanas iespējas. Jāatzīmē, ka nav pieļaujama </w:t>
      </w:r>
      <w:r w:rsidR="00E25162">
        <w:t>apsekojamo maršrutu izvēle balstoties tikai uz pieejamības faktoru.</w:t>
      </w:r>
      <w:r w:rsidRPr="005113BC">
        <w:t xml:space="preserve"> </w:t>
      </w:r>
      <w:r w:rsidR="00E25162">
        <w:t>Piemēram, j</w:t>
      </w:r>
      <w:r w:rsidRPr="005113BC">
        <w:t>a piemēroti biotopi atrodas grūti un ilgstoši caurejamās vietās, tad tie tiek aizvietoti ar pieejamām vietām ūdensteces pretējā krastā.</w:t>
      </w:r>
    </w:p>
    <w:p w14:paraId="6E8B22C7" w14:textId="77777777" w:rsidR="00B207F6" w:rsidRPr="005113BC" w:rsidRDefault="00B207F6" w:rsidP="009748F2">
      <w:pPr>
        <w:jc w:val="both"/>
      </w:pPr>
    </w:p>
    <w:p w14:paraId="4B36ADF4" w14:textId="07D9FF2B" w:rsidR="00B207F6" w:rsidRPr="005113BC" w:rsidRDefault="00D142E7" w:rsidP="009748F2">
      <w:pPr>
        <w:jc w:val="both"/>
      </w:pPr>
      <w:r w:rsidRPr="005113BC">
        <w:t xml:space="preserve">Par piemērotu biotopu dienas tauriņiem jāuzskata tāds, kurā ir gan kāpuru barības augs gan nektāra avots pieaugušajiem tauriņiem, kā arī konkrētam atklātam biotopam raksturīgā veģetācija. Dažām sugām ir specifiskas prasības, piemēram, brūnvālīšu zilenīša kāpuru attīstībai nepieciešamas </w:t>
      </w:r>
      <w:r w:rsidRPr="005113BC">
        <w:rPr>
          <w:i/>
          <w:iCs/>
        </w:rPr>
        <w:t>Myrmica</w:t>
      </w:r>
      <w:r w:rsidRPr="005113BC">
        <w:t xml:space="preserve"> ģints skudru ligzdu klātbūtne</w:t>
      </w:r>
      <w:r w:rsidR="00D439B6">
        <w:t>.Veicot monitoringa aktivitāšu īstenošanu</w:t>
      </w:r>
      <w:r w:rsidRPr="005113BC">
        <w:t xml:space="preserve"> šo faktoru neuzskaita</w:t>
      </w:r>
      <w:r w:rsidR="00D439B6">
        <w:t>, jo</w:t>
      </w:r>
      <w:r w:rsidRPr="005113BC">
        <w:t xml:space="preserve"> </w:t>
      </w:r>
      <w:r w:rsidR="00D439B6">
        <w:t>š</w:t>
      </w:r>
      <w:r w:rsidRPr="005113BC">
        <w:t>īs ģints skudras ir ekoloģiski plastiskas un sastopamas dažādos biotopos. Savukār</w:t>
      </w:r>
      <w:r w:rsidR="005113BC">
        <w:t>t,</w:t>
      </w:r>
      <w:r w:rsidRPr="005113BC">
        <w:t xml:space="preserve"> ošu pļavraibenim atklāta biotopa tuvumā ir jābūt ošu mežiem. Par</w:t>
      </w:r>
      <w:r w:rsidR="00D439B6">
        <w:t xml:space="preserve"> tauriņiem piemērota</w:t>
      </w:r>
      <w:r w:rsidRPr="005113BC">
        <w:t xml:space="preserve"> biotopa ilgtspēju liecina tā neaizaugšana ar krūmiem un kokiem, ekstensīva apsaimniekošana – pļaušana un/vai ganīšana.</w:t>
      </w:r>
    </w:p>
    <w:p w14:paraId="58E7B7CA" w14:textId="511ED030" w:rsidR="00FE3FC6" w:rsidRPr="005113BC" w:rsidRDefault="00D142E7" w:rsidP="009748F2">
      <w:pPr>
        <w:jc w:val="both"/>
      </w:pPr>
      <w:r w:rsidRPr="005113BC">
        <w:t>V</w:t>
      </w:r>
      <w:r w:rsidR="00911462" w:rsidRPr="005113BC">
        <w:t>eicot tauriņu uzskaites poligonu atlasi jāņem vērā, ka daļa no monitoringa programmā iekļautām sugām uzturas lokāli un</w:t>
      </w:r>
      <w:r w:rsidR="00AD04FA" w:rsidRPr="005113BC">
        <w:t xml:space="preserve"> imago barošanās biotopi</w:t>
      </w:r>
      <w:r w:rsidR="00911462" w:rsidRPr="005113BC">
        <w:t xml:space="preserve"> </w:t>
      </w:r>
      <w:r w:rsidR="00AD04FA" w:rsidRPr="005113BC">
        <w:t xml:space="preserve">lielā mērā sakrīt ar </w:t>
      </w:r>
      <w:r w:rsidR="00911462" w:rsidRPr="005113BC">
        <w:t xml:space="preserve"> to kāpuru attīstībai piemēro</w:t>
      </w:r>
      <w:r w:rsidR="00AD04FA" w:rsidRPr="005113BC">
        <w:t>tiem</w:t>
      </w:r>
      <w:r w:rsidR="00911462" w:rsidRPr="005113BC">
        <w:t xml:space="preserve"> biotop</w:t>
      </w:r>
      <w:r w:rsidR="00AD04FA" w:rsidRPr="005113BC">
        <w:t>iem</w:t>
      </w:r>
      <w:r w:rsidR="00911462" w:rsidRPr="005113BC">
        <w:t xml:space="preserve"> (piemēram</w:t>
      </w:r>
      <w:r w:rsidR="005113BC">
        <w:t>,</w:t>
      </w:r>
      <w:r w:rsidR="00911462" w:rsidRPr="005113BC">
        <w:t xml:space="preserve"> ošu pļavraibenis), citas sugas, piemēram zirgskābeņu zilenītis, </w:t>
      </w:r>
      <w:r w:rsidR="00FE3FC6" w:rsidRPr="005113BC">
        <w:t>var aizlidot tālu no</w:t>
      </w:r>
      <w:r w:rsidR="00D439B6">
        <w:t xml:space="preserve"> kāpuru attīstībai</w:t>
      </w:r>
      <w:r w:rsidR="00FE3FC6" w:rsidRPr="005113BC">
        <w:t xml:space="preserve"> piemērotiem biotopiem,</w:t>
      </w:r>
      <w:r w:rsidR="00911462" w:rsidRPr="005113BC">
        <w:t xml:space="preserve"> un var</w:t>
      </w:r>
      <w:r w:rsidR="00FE3FC6" w:rsidRPr="005113BC">
        <w:t xml:space="preserve"> </w:t>
      </w:r>
      <w:r w:rsidR="00911462" w:rsidRPr="005113BC">
        <w:t xml:space="preserve">būt sastopams </w:t>
      </w:r>
      <w:r w:rsidR="00FE3FC6" w:rsidRPr="005113BC">
        <w:t>arī sausās mežamalās un pat kāpās.</w:t>
      </w:r>
      <w:r w:rsidR="00911462" w:rsidRPr="005113BC">
        <w:t xml:space="preserve"> Līdz ar to reģistrētās zirgskābeņu zilenīša atradnes</w:t>
      </w:r>
      <w:r w:rsidR="00D439B6">
        <w:t>,</w:t>
      </w:r>
      <w:r w:rsidR="00911462" w:rsidRPr="005113BC">
        <w:t xml:space="preserve"> sugas attīstībai nepiemērotos biotopos</w:t>
      </w:r>
      <w:r w:rsidR="00D439B6">
        <w:t>,</w:t>
      </w:r>
      <w:r w:rsidR="00911462" w:rsidRPr="005113BC">
        <w:t xml:space="preserve"> nav </w:t>
      </w:r>
      <w:r w:rsidR="00E53A80" w:rsidRPr="005113BC">
        <w:t>jāiekļauj monitoringa tīklā.</w:t>
      </w:r>
      <w:r w:rsidR="00AD04FA" w:rsidRPr="005113BC">
        <w:t xml:space="preserve"> Dienas tauriņiem piemērotie biotopi tika atlasīti balstoties uz pieejamo zālāju un meža biotopu kartējumu.</w:t>
      </w:r>
      <w:r w:rsidR="00467CF7" w:rsidRPr="005113BC">
        <w:t xml:space="preserve"> Prioritāri monitorēšanai tika izvēlēti konkrētu tauriņu sugu kāpuru attīstībai piemērotie biotopi, kas atbilst ES īpaši aizsargājamo biotopu statusam. Vērtējot biotopu piemērotību tauriņu kāpuru attīstībai tika izvērtēta katra biotopa varianta raksturīgā veģetācija un konkrēto barības augu sastopamības iespēja. Papildus biotopu atlasei, iespēju robežās tika atlasīti ilggadīgie zālāji un potenciālie zālāju biotopi, kuros var būt konstatētas monitorējamās tauriņu sugas. </w:t>
      </w:r>
      <w:r w:rsidR="004D773B" w:rsidRPr="00F846A9">
        <w:t xml:space="preserve">Šie zālāji uzskatāmi par suboptimāliem biotopiem un ir </w:t>
      </w:r>
      <w:r w:rsidR="005113BC" w:rsidRPr="00F846A9">
        <w:t>apsekojami</w:t>
      </w:r>
      <w:r w:rsidR="004D773B" w:rsidRPr="00F846A9">
        <w:t>, ja teritorijā nav pietiekams atlasīto</w:t>
      </w:r>
      <w:r w:rsidR="00D439B6" w:rsidRPr="00F846A9">
        <w:t>,</w:t>
      </w:r>
      <w:r w:rsidR="004D773B" w:rsidRPr="00F846A9">
        <w:t xml:space="preserve"> sugai optimālo uzskaites poligonu skaits.</w:t>
      </w:r>
    </w:p>
    <w:p w14:paraId="5F8C0CA6" w14:textId="1ACE341E" w:rsidR="004D773B" w:rsidRPr="005113BC" w:rsidRDefault="004D773B" w:rsidP="009748F2">
      <w:pPr>
        <w:jc w:val="both"/>
      </w:pPr>
    </w:p>
    <w:p w14:paraId="73B22761" w14:textId="707295F5" w:rsidR="004D773B" w:rsidRPr="005113BC" w:rsidRDefault="004D773B" w:rsidP="009748F2">
      <w:pPr>
        <w:jc w:val="both"/>
      </w:pPr>
      <w:r w:rsidRPr="005113BC">
        <w:t>Dienas tauriņu uzskaite tiek veikta balstoties uz maršrutu apsekošanas metodi. Viena uzskaites vienība atbilst 1 km</w:t>
      </w:r>
      <w:r w:rsidR="00512063">
        <w:t xml:space="preserve"> garam maršrutam, kas </w:t>
      </w:r>
      <w:r w:rsidRPr="005113BC">
        <w:t>var būt sadalīts posmos. Mar</w:t>
      </w:r>
      <w:r w:rsidR="00512063">
        <w:t>šr</w:t>
      </w:r>
      <w:r w:rsidRPr="005113BC">
        <w:t>uta ierīkošanas vietas tiek balstītas uz konkrēt</w:t>
      </w:r>
      <w:r w:rsidR="00512063">
        <w:t>ām</w:t>
      </w:r>
      <w:r w:rsidRPr="005113BC">
        <w:t xml:space="preserve"> tauriņ</w:t>
      </w:r>
      <w:r w:rsidR="00512063">
        <w:t>u sugām</w:t>
      </w:r>
      <w:r w:rsidRPr="005113BC">
        <w:t xml:space="preserve"> piemērotiem biotopiem un to apkārtnes teritoriju, kas ir piemērota uzskaitei. </w:t>
      </w:r>
    </w:p>
    <w:p w14:paraId="599A0C91" w14:textId="05E0FFBB" w:rsidR="004D773B" w:rsidRPr="005113BC" w:rsidRDefault="004D773B" w:rsidP="009748F2">
      <w:pPr>
        <w:jc w:val="both"/>
      </w:pPr>
    </w:p>
    <w:p w14:paraId="23BF5AD7" w14:textId="3B997B73" w:rsidR="004D773B" w:rsidRDefault="004D773B" w:rsidP="009748F2">
      <w:pPr>
        <w:jc w:val="both"/>
      </w:pPr>
      <w:r w:rsidRPr="005113BC">
        <w:t>Uzskaites vienību skaita atlase konkrētajām teritorijām balstās uz konkrētām tauriņu sugām piemēroto biotopu platībām teritorijā (1. tabula).</w:t>
      </w:r>
    </w:p>
    <w:p w14:paraId="0A21C1B3" w14:textId="4C10981D" w:rsidR="00F846A9" w:rsidRDefault="00F846A9" w:rsidP="009748F2">
      <w:pPr>
        <w:jc w:val="both"/>
      </w:pPr>
    </w:p>
    <w:p w14:paraId="33A87132" w14:textId="600B4AC7" w:rsidR="00F846A9" w:rsidRDefault="00F846A9" w:rsidP="009748F2">
      <w:pPr>
        <w:jc w:val="both"/>
      </w:pPr>
    </w:p>
    <w:p w14:paraId="2C40964D" w14:textId="44D2D1ED" w:rsidR="00F846A9" w:rsidRDefault="00F846A9" w:rsidP="009748F2">
      <w:pPr>
        <w:jc w:val="both"/>
      </w:pPr>
    </w:p>
    <w:p w14:paraId="66CC55A6" w14:textId="77777777" w:rsidR="00F846A9" w:rsidRPr="005113BC" w:rsidRDefault="00F846A9" w:rsidP="009748F2">
      <w:pPr>
        <w:jc w:val="both"/>
      </w:pPr>
    </w:p>
    <w:p w14:paraId="5476A18C" w14:textId="32BAFEB9" w:rsidR="004D773B" w:rsidRPr="005113BC" w:rsidRDefault="004D773B" w:rsidP="009748F2">
      <w:pPr>
        <w:jc w:val="both"/>
      </w:pPr>
    </w:p>
    <w:p w14:paraId="4ACADE11" w14:textId="1D85DFC7" w:rsidR="004D773B" w:rsidRPr="005113BC" w:rsidRDefault="004D773B" w:rsidP="009748F2">
      <w:pPr>
        <w:jc w:val="both"/>
        <w:rPr>
          <w:b/>
          <w:sz w:val="20"/>
        </w:rPr>
      </w:pPr>
      <w:r w:rsidRPr="005113BC">
        <w:rPr>
          <w:b/>
          <w:sz w:val="20"/>
        </w:rPr>
        <w:lastRenderedPageBreak/>
        <w:t>Tabula 1. Apsekojamo</w:t>
      </w:r>
      <w:r w:rsidR="00D633B1" w:rsidRPr="005113BC">
        <w:rPr>
          <w:b/>
          <w:sz w:val="20"/>
        </w:rPr>
        <w:t xml:space="preserve"> uzskaites vienību skaits balstoties uz tauriņiem optimālo biotopu platībām </w:t>
      </w:r>
      <w:r w:rsidR="00D633B1" w:rsidRPr="005113BC">
        <w:rPr>
          <w:b/>
          <w:i/>
          <w:sz w:val="20"/>
        </w:rPr>
        <w:t>Natura 2000</w:t>
      </w:r>
      <w:r w:rsidR="00D633B1" w:rsidRPr="005113BC">
        <w:rPr>
          <w:b/>
          <w:sz w:val="20"/>
        </w:rPr>
        <w:t xml:space="preserve"> teritorijās.</w:t>
      </w:r>
    </w:p>
    <w:tbl>
      <w:tblPr>
        <w:tblStyle w:val="TableGrid"/>
        <w:tblW w:w="0" w:type="auto"/>
        <w:tblLook w:val="04A0" w:firstRow="1" w:lastRow="0" w:firstColumn="1" w:lastColumn="0" w:noHBand="0" w:noVBand="1"/>
      </w:tblPr>
      <w:tblGrid>
        <w:gridCol w:w="1803"/>
        <w:gridCol w:w="1803"/>
        <w:gridCol w:w="1803"/>
        <w:gridCol w:w="1803"/>
        <w:gridCol w:w="1804"/>
      </w:tblGrid>
      <w:tr w:rsidR="004D773B" w:rsidRPr="005113BC" w14:paraId="6956A73B" w14:textId="77777777" w:rsidTr="004D773B">
        <w:tc>
          <w:tcPr>
            <w:tcW w:w="1803" w:type="dxa"/>
          </w:tcPr>
          <w:p w14:paraId="2BCBD168" w14:textId="48D8EA92" w:rsidR="004D773B" w:rsidRPr="005113BC" w:rsidRDefault="004D773B" w:rsidP="004D773B">
            <w:pPr>
              <w:jc w:val="both"/>
            </w:pPr>
            <w:r w:rsidRPr="005113BC">
              <w:t>Biotopu platība</w:t>
            </w:r>
            <w:r w:rsidR="00D633B1" w:rsidRPr="005113BC">
              <w:t xml:space="preserve"> (ha)</w:t>
            </w:r>
          </w:p>
        </w:tc>
        <w:tc>
          <w:tcPr>
            <w:tcW w:w="1803" w:type="dxa"/>
          </w:tcPr>
          <w:p w14:paraId="452D3C1A" w14:textId="6E1F9602" w:rsidR="004D773B" w:rsidRPr="005113BC" w:rsidRDefault="00D633B1" w:rsidP="004D773B">
            <w:pPr>
              <w:jc w:val="both"/>
            </w:pPr>
            <w:r w:rsidRPr="005113BC">
              <w:t>&lt;10 ha</w:t>
            </w:r>
          </w:p>
        </w:tc>
        <w:tc>
          <w:tcPr>
            <w:tcW w:w="1803" w:type="dxa"/>
          </w:tcPr>
          <w:p w14:paraId="7367898F" w14:textId="75F25E7B" w:rsidR="004D773B" w:rsidRPr="005113BC" w:rsidRDefault="00D633B1" w:rsidP="004D773B">
            <w:pPr>
              <w:jc w:val="both"/>
            </w:pPr>
            <w:r w:rsidRPr="005113BC">
              <w:t>11 – 99 ha</w:t>
            </w:r>
          </w:p>
        </w:tc>
        <w:tc>
          <w:tcPr>
            <w:tcW w:w="1803" w:type="dxa"/>
          </w:tcPr>
          <w:p w14:paraId="6615242A" w14:textId="1853F4B8" w:rsidR="004D773B" w:rsidRPr="005113BC" w:rsidRDefault="00D633B1" w:rsidP="00D633B1">
            <w:pPr>
              <w:pStyle w:val="ListParagraph"/>
              <w:numPr>
                <w:ilvl w:val="0"/>
                <w:numId w:val="15"/>
              </w:numPr>
              <w:jc w:val="both"/>
            </w:pPr>
            <w:r w:rsidRPr="005113BC">
              <w:t>– 500 ha</w:t>
            </w:r>
          </w:p>
        </w:tc>
        <w:tc>
          <w:tcPr>
            <w:tcW w:w="1804" w:type="dxa"/>
          </w:tcPr>
          <w:p w14:paraId="54194AC7" w14:textId="0669CE3B" w:rsidR="004D773B" w:rsidRPr="005113BC" w:rsidRDefault="00D633B1" w:rsidP="00D633B1">
            <w:pPr>
              <w:ind w:left="360"/>
              <w:jc w:val="both"/>
            </w:pPr>
            <w:r w:rsidRPr="005113BC">
              <w:t>&gt; 500ha</w:t>
            </w:r>
          </w:p>
        </w:tc>
      </w:tr>
      <w:tr w:rsidR="004D773B" w:rsidRPr="005113BC" w14:paraId="36DA6733" w14:textId="77777777" w:rsidTr="004D773B">
        <w:tc>
          <w:tcPr>
            <w:tcW w:w="1803" w:type="dxa"/>
          </w:tcPr>
          <w:p w14:paraId="3C5A74B3" w14:textId="525B967F" w:rsidR="004D773B" w:rsidRPr="005113BC" w:rsidRDefault="004D773B" w:rsidP="004D773B">
            <w:pPr>
              <w:jc w:val="both"/>
            </w:pPr>
            <w:r w:rsidRPr="005113BC">
              <w:t>Apsekojamo vienību skaits</w:t>
            </w:r>
            <w:r w:rsidR="00D633B1" w:rsidRPr="005113BC">
              <w:t xml:space="preserve"> (gab.)</w:t>
            </w:r>
          </w:p>
        </w:tc>
        <w:tc>
          <w:tcPr>
            <w:tcW w:w="1803" w:type="dxa"/>
          </w:tcPr>
          <w:p w14:paraId="753BD0F0" w14:textId="6B4CD849" w:rsidR="004D773B" w:rsidRPr="005113BC" w:rsidRDefault="00D633B1" w:rsidP="00D633B1">
            <w:pPr>
              <w:jc w:val="center"/>
            </w:pPr>
            <w:r w:rsidRPr="005113BC">
              <w:t>≤3</w:t>
            </w:r>
          </w:p>
        </w:tc>
        <w:tc>
          <w:tcPr>
            <w:tcW w:w="1803" w:type="dxa"/>
          </w:tcPr>
          <w:p w14:paraId="12CB8632" w14:textId="126A1741" w:rsidR="004D773B" w:rsidRPr="005113BC" w:rsidRDefault="00CA1607" w:rsidP="00D633B1">
            <w:pPr>
              <w:jc w:val="center"/>
            </w:pPr>
            <w:r w:rsidRPr="005113BC">
              <w:t xml:space="preserve">≤ </w:t>
            </w:r>
            <w:r w:rsidR="00D633B1" w:rsidRPr="005113BC">
              <w:t>5</w:t>
            </w:r>
          </w:p>
        </w:tc>
        <w:tc>
          <w:tcPr>
            <w:tcW w:w="1803" w:type="dxa"/>
          </w:tcPr>
          <w:p w14:paraId="24E7DB25" w14:textId="3BF3359C" w:rsidR="004D773B" w:rsidRPr="005113BC" w:rsidRDefault="00CA1607" w:rsidP="00D633B1">
            <w:pPr>
              <w:jc w:val="center"/>
            </w:pPr>
            <w:r w:rsidRPr="005113BC">
              <w:t xml:space="preserve">≤ </w:t>
            </w:r>
            <w:r w:rsidR="00D633B1" w:rsidRPr="005113BC">
              <w:t>10</w:t>
            </w:r>
          </w:p>
        </w:tc>
        <w:tc>
          <w:tcPr>
            <w:tcW w:w="1804" w:type="dxa"/>
          </w:tcPr>
          <w:p w14:paraId="6DCEF002" w14:textId="0190F290" w:rsidR="004D773B" w:rsidRPr="005113BC" w:rsidRDefault="00CA1607" w:rsidP="00D633B1">
            <w:pPr>
              <w:jc w:val="center"/>
            </w:pPr>
            <w:r w:rsidRPr="005113BC">
              <w:t xml:space="preserve">≤ </w:t>
            </w:r>
            <w:r w:rsidR="00D633B1" w:rsidRPr="005113BC">
              <w:t>20</w:t>
            </w:r>
          </w:p>
        </w:tc>
      </w:tr>
    </w:tbl>
    <w:p w14:paraId="5782B2C1" w14:textId="385C1DCE" w:rsidR="004D773B" w:rsidRPr="005113BC" w:rsidRDefault="004D773B" w:rsidP="004D773B">
      <w:pPr>
        <w:ind w:firstLine="720"/>
        <w:jc w:val="both"/>
      </w:pPr>
    </w:p>
    <w:p w14:paraId="7B9707F5" w14:textId="69F59368" w:rsidR="00B52167" w:rsidRPr="005113BC" w:rsidRDefault="00B52167" w:rsidP="00B52167">
      <w:r w:rsidRPr="005113BC">
        <w:t>Monitorējamās vietas tiek atlasītas pēc šādiem principiem:</w:t>
      </w:r>
    </w:p>
    <w:p w14:paraId="6C19426E" w14:textId="279C8BFD" w:rsidR="00B52167" w:rsidRPr="005113BC" w:rsidRDefault="005113BC" w:rsidP="00B52167">
      <w:pPr>
        <w:pStyle w:val="ListParagraph"/>
        <w:numPr>
          <w:ilvl w:val="0"/>
          <w:numId w:val="17"/>
        </w:numPr>
        <w:jc w:val="both"/>
      </w:pPr>
      <w:r>
        <w:t>t</w:t>
      </w:r>
      <w:r w:rsidRPr="005113BC">
        <w:t xml:space="preserve">iek </w:t>
      </w:r>
      <w:r w:rsidR="00B52167" w:rsidRPr="005113BC">
        <w:t>izveidots zālāju un piemēroto meža biotopu</w:t>
      </w:r>
      <w:r>
        <w:t xml:space="preserve"> poligonu</w:t>
      </w:r>
      <w:r w:rsidR="00B52167" w:rsidRPr="005113BC">
        <w:t xml:space="preserve"> slānis katrai Natura 2000 teritorijai, kurā suga ir konstatēta</w:t>
      </w:r>
      <w:r>
        <w:t>.</w:t>
      </w:r>
    </w:p>
    <w:p w14:paraId="20165CB1" w14:textId="10324881" w:rsidR="00B52167" w:rsidRPr="005113BC" w:rsidRDefault="00B52167" w:rsidP="00B52167">
      <w:pPr>
        <w:jc w:val="both"/>
      </w:pPr>
      <w:r w:rsidRPr="005113BC">
        <w:t>Biotopu poligonu atribūtu tabulā tiek iekļauta šāda informācija:</w:t>
      </w:r>
    </w:p>
    <w:p w14:paraId="14EEA6FA" w14:textId="3BB34047" w:rsidR="00B52167" w:rsidRPr="005113BC" w:rsidRDefault="00B52167" w:rsidP="00B52167">
      <w:pPr>
        <w:pStyle w:val="ListParagraph"/>
        <w:numPr>
          <w:ilvl w:val="0"/>
          <w:numId w:val="6"/>
        </w:numPr>
        <w:suppressAutoHyphens w:val="0"/>
        <w:jc w:val="both"/>
        <w:textAlignment w:val="auto"/>
      </w:pPr>
      <w:r w:rsidRPr="005113BC">
        <w:t>biotopa nosaukums (atbilstoši sugas attīstībai piemēroto biotopu klasifikācijai</w:t>
      </w:r>
      <w:r w:rsidR="00971456" w:rsidRPr="005113BC">
        <w:t>)</w:t>
      </w:r>
      <w:r w:rsidR="00971456">
        <w:t>;</w:t>
      </w:r>
    </w:p>
    <w:p w14:paraId="228892E6" w14:textId="66B5B5B0" w:rsidR="00B52167" w:rsidRPr="005113BC" w:rsidRDefault="00B52167" w:rsidP="00B52167">
      <w:pPr>
        <w:pStyle w:val="ListParagraph"/>
        <w:numPr>
          <w:ilvl w:val="0"/>
          <w:numId w:val="6"/>
        </w:numPr>
        <w:suppressAutoHyphens w:val="0"/>
        <w:jc w:val="both"/>
        <w:textAlignment w:val="auto"/>
      </w:pPr>
      <w:r w:rsidRPr="005113BC">
        <w:t>optimālais / suboptimālais sugas biotops</w:t>
      </w:r>
      <w:r w:rsidR="00971456">
        <w:t>;</w:t>
      </w:r>
    </w:p>
    <w:p w14:paraId="6C783F5E" w14:textId="64080F3B" w:rsidR="00B52167" w:rsidRPr="005113BC" w:rsidRDefault="00B52167" w:rsidP="00B52167">
      <w:pPr>
        <w:pStyle w:val="ListParagraph"/>
        <w:numPr>
          <w:ilvl w:val="0"/>
          <w:numId w:val="6"/>
        </w:numPr>
        <w:suppressAutoHyphens w:val="0"/>
        <w:jc w:val="both"/>
        <w:textAlignment w:val="auto"/>
      </w:pPr>
      <w:r w:rsidRPr="005113BC">
        <w:t>poligona platība</w:t>
      </w:r>
      <w:r w:rsidR="00971456">
        <w:t>;</w:t>
      </w:r>
    </w:p>
    <w:p w14:paraId="57EE7478" w14:textId="77777777" w:rsidR="004F2B27" w:rsidRPr="005113BC" w:rsidRDefault="00B52167" w:rsidP="004F2B27">
      <w:pPr>
        <w:pStyle w:val="ListParagraph"/>
        <w:numPr>
          <w:ilvl w:val="0"/>
          <w:numId w:val="6"/>
        </w:numPr>
        <w:suppressAutoHyphens w:val="0"/>
        <w:jc w:val="both"/>
        <w:textAlignment w:val="auto"/>
      </w:pPr>
      <w:r w:rsidRPr="005113BC">
        <w:t>sugas klātbūtne poligonā (pēc esošajiem datiem norāda ir/nav poligonā; sugas klātbūtne uzskatāma par esošu arī tad, ja sugas atradnes punkts atrodas 500 m zonā (buferī) ap biotopa poligonu);</w:t>
      </w:r>
    </w:p>
    <w:p w14:paraId="6A4A2D10" w14:textId="243D32A9" w:rsidR="00B52167" w:rsidRPr="005113BC" w:rsidRDefault="00971456" w:rsidP="004F2B27">
      <w:pPr>
        <w:pStyle w:val="ListParagraph"/>
        <w:numPr>
          <w:ilvl w:val="0"/>
          <w:numId w:val="6"/>
        </w:numPr>
        <w:suppressAutoHyphens w:val="0"/>
        <w:jc w:val="both"/>
        <w:textAlignment w:val="auto"/>
      </w:pPr>
      <w:r>
        <w:t>a</w:t>
      </w:r>
      <w:r w:rsidRPr="005113BC">
        <w:t xml:space="preserve">prēķina </w:t>
      </w:r>
      <w:r w:rsidR="00B52167" w:rsidRPr="005113BC">
        <w:t>sugas optimālo biotopu pārstāvētību;</w:t>
      </w:r>
    </w:p>
    <w:p w14:paraId="2E9D3D07" w14:textId="76A3C7E5" w:rsidR="004F2B27" w:rsidRPr="005113BC" w:rsidRDefault="00971456" w:rsidP="004F2B27">
      <w:pPr>
        <w:pStyle w:val="ListParagraph"/>
        <w:numPr>
          <w:ilvl w:val="0"/>
          <w:numId w:val="6"/>
        </w:numPr>
        <w:suppressAutoHyphens w:val="0"/>
        <w:jc w:val="both"/>
        <w:textAlignment w:val="auto"/>
      </w:pPr>
      <w:r>
        <w:t>k</w:t>
      </w:r>
      <w:r w:rsidRPr="005113BC">
        <w:t xml:space="preserve">atrai </w:t>
      </w:r>
      <w:r w:rsidR="004F2B27" w:rsidRPr="005113BC">
        <w:t xml:space="preserve">uzskaites vienībai tiek </w:t>
      </w:r>
      <w:r w:rsidRPr="005113BC">
        <w:t>p</w:t>
      </w:r>
      <w:r>
        <w:t>ie</w:t>
      </w:r>
      <w:r w:rsidRPr="005113BC">
        <w:t xml:space="preserve">šķirts </w:t>
      </w:r>
      <w:r w:rsidR="004F2B27" w:rsidRPr="005113BC">
        <w:t>unikāls numurs, kas tiek izmantots turpmākai apsekojamo vienību randomizētai atlasei</w:t>
      </w:r>
      <w:r w:rsidR="00512063">
        <w:t>.</w:t>
      </w:r>
    </w:p>
    <w:p w14:paraId="6DAE65BA" w14:textId="04389CB3" w:rsidR="002F0BB9" w:rsidRPr="005113BC" w:rsidRDefault="004F2B27" w:rsidP="002F0BB9">
      <w:pPr>
        <w:jc w:val="both"/>
      </w:pPr>
      <w:bookmarkStart w:id="0" w:name="_Hlk54871551"/>
      <w:r w:rsidRPr="005113BC">
        <w:t>Pēc</w:t>
      </w:r>
      <w:r w:rsidRPr="005113BC">
        <w:rPr>
          <w:b/>
        </w:rPr>
        <w:t xml:space="preserve"> </w:t>
      </w:r>
      <w:r w:rsidRPr="005113BC">
        <w:t>visu uzskaites vienību atlases</w:t>
      </w:r>
      <w:r w:rsidR="002F0BB9" w:rsidRPr="005113BC">
        <w:t>, no optimālajiem biotopiem,</w:t>
      </w:r>
      <w:r w:rsidRPr="005113BC">
        <w:t xml:space="preserve"> tiek veikta randomizētā</w:t>
      </w:r>
      <w:r w:rsidR="002F0BB9" w:rsidRPr="005113BC">
        <w:t xml:space="preserve"> parauglaukumu atlase katrai Natura 2000 teritorijai atbilstoši 1. tabulā noteiktajam uzskaites vienību skaitam katrai teritorijai. </w:t>
      </w:r>
      <w:r w:rsidRPr="005113BC">
        <w:t>Atlasītās uzskaites vienības</w:t>
      </w:r>
      <w:r w:rsidR="005144B3">
        <w:t>,</w:t>
      </w:r>
      <w:r w:rsidRPr="005113BC">
        <w:t xml:space="preserve"> kas sakrīt ar sugas atradnēm tiek atzīmētas kā prioritāri apsekojamās.</w:t>
      </w:r>
      <w:r w:rsidR="002F0BB9" w:rsidRPr="005113BC">
        <w:t xml:space="preserve"> </w:t>
      </w:r>
      <w:r w:rsidR="00B52167" w:rsidRPr="005113BC">
        <w:t>Veicot apsekošanai paredzēto uzskaites vienību randomizēto atlasi nodrošina</w:t>
      </w:r>
      <w:r w:rsidR="005144B3">
        <w:t>,</w:t>
      </w:r>
      <w:r w:rsidR="00B52167" w:rsidRPr="005113BC">
        <w:t xml:space="preserve"> lai apsekošanas slānī tiktu atlasīt</w:t>
      </w:r>
      <w:r w:rsidR="00293A35" w:rsidRPr="005113BC">
        <w:t>i</w:t>
      </w:r>
      <w:r w:rsidR="00B52167" w:rsidRPr="005113BC">
        <w:t xml:space="preserve"> visi atlasē pārstāvētie biotopu veidi. Pēc uzskaites vienību atlases kamerāli tiek iezīmēti </w:t>
      </w:r>
      <w:r w:rsidR="002F0BB9" w:rsidRPr="005113BC">
        <w:t>1 km</w:t>
      </w:r>
      <w:r w:rsidR="005144B3">
        <w:t xml:space="preserve"> gari</w:t>
      </w:r>
      <w:r w:rsidR="002F0BB9" w:rsidRPr="005113BC">
        <w:t xml:space="preserve"> dienas tauriņu</w:t>
      </w:r>
      <w:r w:rsidR="00B52167" w:rsidRPr="005113BC">
        <w:t xml:space="preserve"> uzskaites </w:t>
      </w:r>
      <w:r w:rsidR="002F0BB9" w:rsidRPr="005113BC">
        <w:t>maršruti. Maršrutu izveide notiek manuāli, balstoties uz biotopu kartējumu un tauriņiem optimālu/suboptimālu biotopu kamerāl</w:t>
      </w:r>
      <w:r w:rsidR="00293A35" w:rsidRPr="005113BC">
        <w:t>u</w:t>
      </w:r>
      <w:r w:rsidR="002F0BB9" w:rsidRPr="005113BC">
        <w:t xml:space="preserve"> identificēšanu. </w:t>
      </w:r>
    </w:p>
    <w:bookmarkEnd w:id="0"/>
    <w:p w14:paraId="3F884363" w14:textId="77777777" w:rsidR="00293A35" w:rsidRPr="005113BC" w:rsidRDefault="00293A35" w:rsidP="00293A35">
      <w:pPr>
        <w:jc w:val="both"/>
      </w:pPr>
    </w:p>
    <w:p w14:paraId="3BB837A9" w14:textId="63085775" w:rsidR="00293A35" w:rsidRPr="005113BC" w:rsidRDefault="00293A35" w:rsidP="00293A35">
      <w:pPr>
        <w:jc w:val="both"/>
      </w:pPr>
      <w:r w:rsidRPr="005113BC">
        <w:t xml:space="preserve">Katrā monitoringa periodā uzskaites jāveic nemainīgās vietās, tādēļ pirmajā reizē, pārbaudot uzskaites vietu dabā, jānovērtē katras vietas pieejamības iespējas arī dažādos mitruma apstākļos. Nepieciešamības gadījumā vietu jākoriģē tā, lai tajā nebūtu pastāvīgi vai īslaicīgi, </w:t>
      </w:r>
      <w:r w:rsidR="006029CB" w:rsidRPr="005113BC">
        <w:t xml:space="preserve">applūstošas vietas, </w:t>
      </w:r>
      <w:r w:rsidRPr="005113BC">
        <w:t xml:space="preserve">kuru dēļ būtu ievērojami jāattālinās no plānotās uzskaites vietas. </w:t>
      </w:r>
    </w:p>
    <w:p w14:paraId="6CA712D0" w14:textId="77777777" w:rsidR="006029CB" w:rsidRPr="005113BC" w:rsidRDefault="006029CB" w:rsidP="006029CB">
      <w:pPr>
        <w:jc w:val="both"/>
      </w:pPr>
    </w:p>
    <w:p w14:paraId="4D885EEF" w14:textId="727ECD80" w:rsidR="00CC2969" w:rsidRPr="005113BC" w:rsidRDefault="00293A35" w:rsidP="00EF5967">
      <w:pPr>
        <w:jc w:val="both"/>
      </w:pPr>
      <w:r w:rsidRPr="005113BC">
        <w:t xml:space="preserve">Uzskaites vietas nemainīguma nodrošināšanai ir jāprecizē </w:t>
      </w:r>
      <w:r w:rsidR="003C4231">
        <w:t xml:space="preserve">maršruta </w:t>
      </w:r>
      <w:r w:rsidRPr="005113BC">
        <w:t xml:space="preserve"> koordinātas, kuras tiek ievadītas </w:t>
      </w:r>
      <w:bookmarkStart w:id="1" w:name="_GoBack"/>
      <w:r w:rsidRPr="00F846A9">
        <w:t>Collector</w:t>
      </w:r>
      <w:r w:rsidRPr="005113BC">
        <w:t xml:space="preserve"> </w:t>
      </w:r>
      <w:bookmarkEnd w:id="1"/>
      <w:r w:rsidRPr="005113BC">
        <w:t xml:space="preserve">sistēmā. </w:t>
      </w:r>
    </w:p>
    <w:p w14:paraId="4878867E" w14:textId="52CC6497" w:rsidR="00EF5967" w:rsidRPr="005113BC" w:rsidRDefault="00EF5967" w:rsidP="00EF5967">
      <w:pPr>
        <w:jc w:val="both"/>
        <w:rPr>
          <w:b/>
          <w:sz w:val="20"/>
          <w:szCs w:val="20"/>
        </w:rPr>
      </w:pPr>
    </w:p>
    <w:p w14:paraId="39EC11DD" w14:textId="09AC0A43" w:rsidR="00731538" w:rsidRPr="005113BC" w:rsidRDefault="009528A3" w:rsidP="00731538">
      <w:pPr>
        <w:rPr>
          <w:b/>
          <w:sz w:val="20"/>
          <w:szCs w:val="20"/>
        </w:rPr>
      </w:pPr>
      <w:r w:rsidRPr="005113BC">
        <w:rPr>
          <w:b/>
          <w:sz w:val="20"/>
          <w:szCs w:val="20"/>
        </w:rPr>
        <w:t>2</w:t>
      </w:r>
      <w:r w:rsidR="00731538" w:rsidRPr="005113BC">
        <w:rPr>
          <w:b/>
          <w:sz w:val="20"/>
          <w:szCs w:val="20"/>
        </w:rPr>
        <w:t xml:space="preserve">. tabula. </w:t>
      </w:r>
    </w:p>
    <w:p w14:paraId="558B2CA2" w14:textId="37BE0A35" w:rsidR="00731538" w:rsidRPr="005113BC" w:rsidRDefault="00731538" w:rsidP="008B221B">
      <w:pPr>
        <w:rPr>
          <w:b/>
          <w:sz w:val="20"/>
          <w:szCs w:val="20"/>
        </w:rPr>
      </w:pPr>
      <w:r w:rsidRPr="005113BC">
        <w:rPr>
          <w:b/>
          <w:sz w:val="20"/>
          <w:szCs w:val="20"/>
        </w:rPr>
        <w:t xml:space="preserve">Pārskats par monitorējamajām dienastauriņu sugām </w:t>
      </w:r>
      <w:r w:rsidR="008B221B" w:rsidRPr="005113BC">
        <w:rPr>
          <w:b/>
          <w:sz w:val="20"/>
          <w:szCs w:val="20"/>
        </w:rPr>
        <w:t>atlasītajiem</w:t>
      </w:r>
      <w:r w:rsidRPr="005113BC">
        <w:rPr>
          <w:b/>
          <w:sz w:val="20"/>
          <w:szCs w:val="20"/>
        </w:rPr>
        <w:t xml:space="preserve"> biotopiem.</w:t>
      </w:r>
    </w:p>
    <w:tbl>
      <w:tblPr>
        <w:tblW w:w="8506" w:type="dxa"/>
        <w:tblInd w:w="-147" w:type="dxa"/>
        <w:tblLayout w:type="fixed"/>
        <w:tblCellMar>
          <w:left w:w="10" w:type="dxa"/>
          <w:right w:w="10" w:type="dxa"/>
        </w:tblCellMar>
        <w:tblLook w:val="0000" w:firstRow="0" w:lastRow="0" w:firstColumn="0" w:lastColumn="0" w:noHBand="0" w:noVBand="0"/>
      </w:tblPr>
      <w:tblGrid>
        <w:gridCol w:w="3403"/>
        <w:gridCol w:w="1275"/>
        <w:gridCol w:w="1276"/>
        <w:gridCol w:w="1276"/>
        <w:gridCol w:w="1276"/>
      </w:tblGrid>
      <w:tr w:rsidR="004E06A1" w:rsidRPr="005113BC" w14:paraId="20E8E04A"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00FF00"/>
            <w:noWrap/>
            <w:tcMar>
              <w:top w:w="0" w:type="dxa"/>
              <w:left w:w="108" w:type="dxa"/>
              <w:bottom w:w="0" w:type="dxa"/>
              <w:right w:w="108" w:type="dxa"/>
            </w:tcMar>
            <w:vAlign w:val="center"/>
          </w:tcPr>
          <w:p w14:paraId="0AA24D7C" w14:textId="78C61084" w:rsidR="003C4231" w:rsidRDefault="003C4231" w:rsidP="00FF237A">
            <w:pPr>
              <w:jc w:val="center"/>
              <w:rPr>
                <w:b/>
                <w:iCs/>
                <w:color w:val="000000"/>
                <w:sz w:val="20"/>
                <w:szCs w:val="20"/>
              </w:rPr>
            </w:pPr>
            <w:bookmarkStart w:id="2" w:name="_Hlk55298317"/>
            <w:r>
              <w:rPr>
                <w:b/>
                <w:iCs/>
                <w:color w:val="000000"/>
                <w:sz w:val="20"/>
                <w:szCs w:val="20"/>
              </w:rPr>
              <w:t xml:space="preserve">                                 Dienas tauriņu sugas</w:t>
            </w:r>
          </w:p>
          <w:p w14:paraId="573C283A" w14:textId="31ABA0B0" w:rsidR="004E06A1" w:rsidRPr="005113BC" w:rsidRDefault="003C4231" w:rsidP="00DF7F2A">
            <w:pPr>
              <w:rPr>
                <w:b/>
                <w:iCs/>
                <w:color w:val="000000"/>
                <w:sz w:val="20"/>
                <w:szCs w:val="20"/>
              </w:rPr>
            </w:pPr>
            <w:r>
              <w:rPr>
                <w:b/>
                <w:iCs/>
                <w:color w:val="000000"/>
                <w:sz w:val="20"/>
                <w:szCs w:val="20"/>
              </w:rPr>
              <w:t xml:space="preserve">Piemērotie </w:t>
            </w:r>
            <w:r w:rsidR="004E06A1" w:rsidRPr="005113BC">
              <w:rPr>
                <w:b/>
                <w:iCs/>
                <w:color w:val="000000"/>
                <w:sz w:val="20"/>
                <w:szCs w:val="20"/>
              </w:rPr>
              <w:t>Biotop</w:t>
            </w:r>
            <w:r>
              <w:rPr>
                <w:b/>
                <w:iCs/>
                <w:color w:val="000000"/>
                <w:sz w:val="20"/>
                <w:szCs w:val="20"/>
              </w:rPr>
              <w:t>i</w:t>
            </w:r>
          </w:p>
        </w:tc>
        <w:tc>
          <w:tcPr>
            <w:tcW w:w="1275"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center"/>
          </w:tcPr>
          <w:p w14:paraId="39E0300F" w14:textId="77777777" w:rsidR="004E06A1" w:rsidRPr="005113BC" w:rsidRDefault="004E06A1" w:rsidP="00FF237A">
            <w:pPr>
              <w:jc w:val="center"/>
              <w:rPr>
                <w:b/>
                <w:sz w:val="20"/>
                <w:szCs w:val="20"/>
              </w:rPr>
            </w:pPr>
            <w:r w:rsidRPr="005113BC">
              <w:rPr>
                <w:b/>
                <w:sz w:val="20"/>
                <w:szCs w:val="20"/>
              </w:rPr>
              <w:t xml:space="preserve">Skabiozu pļavraibenis </w:t>
            </w:r>
            <w:r w:rsidRPr="005113BC">
              <w:rPr>
                <w:b/>
                <w:i/>
                <w:iCs/>
                <w:sz w:val="20"/>
                <w:szCs w:val="20"/>
              </w:rPr>
              <w:t>Euphydryas aurinia</w:t>
            </w:r>
          </w:p>
        </w:tc>
        <w:tc>
          <w:tcPr>
            <w:tcW w:w="1276"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center"/>
          </w:tcPr>
          <w:p w14:paraId="68A07402" w14:textId="77777777" w:rsidR="004E06A1" w:rsidRPr="005113BC" w:rsidRDefault="004E06A1" w:rsidP="00FF237A">
            <w:pPr>
              <w:jc w:val="center"/>
              <w:rPr>
                <w:b/>
                <w:sz w:val="20"/>
                <w:szCs w:val="20"/>
              </w:rPr>
            </w:pPr>
            <w:r w:rsidRPr="005113BC">
              <w:rPr>
                <w:b/>
                <w:iCs/>
                <w:sz w:val="20"/>
                <w:szCs w:val="20"/>
              </w:rPr>
              <w:t>O</w:t>
            </w:r>
            <w:r w:rsidRPr="005113BC">
              <w:rPr>
                <w:b/>
                <w:sz w:val="20"/>
                <w:szCs w:val="20"/>
              </w:rPr>
              <w:t xml:space="preserve">šu pļavraibenis </w:t>
            </w:r>
            <w:r w:rsidRPr="005113BC">
              <w:rPr>
                <w:b/>
                <w:i/>
                <w:iCs/>
                <w:sz w:val="20"/>
                <w:szCs w:val="20"/>
              </w:rPr>
              <w:t>Hypodryas maturna</w:t>
            </w:r>
          </w:p>
        </w:tc>
        <w:tc>
          <w:tcPr>
            <w:tcW w:w="1276"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center"/>
          </w:tcPr>
          <w:p w14:paraId="6E8F5248" w14:textId="77777777" w:rsidR="004E06A1" w:rsidRPr="005113BC" w:rsidRDefault="004E06A1" w:rsidP="00FF237A">
            <w:pPr>
              <w:jc w:val="center"/>
              <w:rPr>
                <w:b/>
                <w:sz w:val="20"/>
                <w:szCs w:val="20"/>
              </w:rPr>
            </w:pPr>
            <w:r w:rsidRPr="005113BC">
              <w:rPr>
                <w:b/>
                <w:iCs/>
                <w:sz w:val="20"/>
                <w:szCs w:val="20"/>
              </w:rPr>
              <w:t>Z</w:t>
            </w:r>
            <w:r w:rsidRPr="005113BC">
              <w:rPr>
                <w:b/>
                <w:sz w:val="20"/>
                <w:szCs w:val="20"/>
              </w:rPr>
              <w:t xml:space="preserve">irgskābeņu zilenītis </w:t>
            </w:r>
            <w:r w:rsidRPr="005113BC">
              <w:rPr>
                <w:b/>
                <w:i/>
                <w:iCs/>
                <w:sz w:val="20"/>
                <w:szCs w:val="20"/>
              </w:rPr>
              <w:t>Lycaena dispar</w:t>
            </w:r>
          </w:p>
        </w:tc>
        <w:tc>
          <w:tcPr>
            <w:tcW w:w="1276"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center"/>
          </w:tcPr>
          <w:p w14:paraId="0B548108" w14:textId="77777777" w:rsidR="004E06A1" w:rsidRPr="005113BC" w:rsidRDefault="004E06A1" w:rsidP="00FF237A">
            <w:pPr>
              <w:jc w:val="center"/>
              <w:rPr>
                <w:b/>
                <w:sz w:val="20"/>
                <w:szCs w:val="20"/>
              </w:rPr>
            </w:pPr>
            <w:r w:rsidRPr="005113BC">
              <w:rPr>
                <w:b/>
                <w:iCs/>
                <w:sz w:val="20"/>
                <w:szCs w:val="20"/>
              </w:rPr>
              <w:t>B</w:t>
            </w:r>
            <w:r w:rsidRPr="005113BC">
              <w:rPr>
                <w:b/>
                <w:sz w:val="20"/>
                <w:szCs w:val="20"/>
              </w:rPr>
              <w:t xml:space="preserve">rūnvālīšu zilenītis </w:t>
            </w:r>
            <w:r w:rsidRPr="005113BC">
              <w:rPr>
                <w:b/>
                <w:i/>
                <w:iCs/>
                <w:sz w:val="20"/>
                <w:szCs w:val="20"/>
              </w:rPr>
              <w:t>Maculinea teleius</w:t>
            </w:r>
          </w:p>
        </w:tc>
      </w:tr>
      <w:tr w:rsidR="004E06A1" w:rsidRPr="005113BC" w14:paraId="6082E400"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A0A663" w14:textId="69095850" w:rsidR="004E06A1" w:rsidRPr="005113BC" w:rsidRDefault="008B221B" w:rsidP="0049356A">
            <w:pPr>
              <w:rPr>
                <w:sz w:val="20"/>
                <w:szCs w:val="20"/>
              </w:rPr>
            </w:pPr>
            <w:r w:rsidRPr="005113BC">
              <w:rPr>
                <w:sz w:val="20"/>
              </w:rPr>
              <w:t xml:space="preserve">6230*Vilkakūlas zālāji </w:t>
            </w:r>
            <w:r w:rsidR="004E06A1" w:rsidRPr="005113BC">
              <w:rPr>
                <w:sz w:val="20"/>
              </w:rPr>
              <w:t>2</w:t>
            </w:r>
            <w:r w:rsidR="00171882" w:rsidRPr="005113BC">
              <w:rPr>
                <w:sz w:val="20"/>
              </w:rPr>
              <w:t>, 3</w:t>
            </w:r>
            <w:r w:rsidRPr="005113BC">
              <w:rPr>
                <w:sz w:val="20"/>
              </w:rPr>
              <w:t xml:space="preserve"> varianti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1C0FC7" w14:textId="11BAD260" w:rsidR="004E06A1" w:rsidRPr="005113BC" w:rsidRDefault="004E06A1" w:rsidP="0049356A">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961E74" w14:textId="77777777" w:rsidR="004E06A1" w:rsidRPr="005113BC" w:rsidRDefault="004E06A1" w:rsidP="0049356A">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51B4E30" w14:textId="7A9055F8" w:rsidR="004E06A1" w:rsidRPr="005113BC" w:rsidRDefault="004E06A1" w:rsidP="0049356A">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935FA2" w14:textId="77777777" w:rsidR="004E06A1" w:rsidRPr="005113BC" w:rsidRDefault="004E06A1" w:rsidP="0049356A">
            <w:pPr>
              <w:jc w:val="center"/>
              <w:rPr>
                <w:color w:val="000000"/>
                <w:sz w:val="20"/>
                <w:szCs w:val="20"/>
              </w:rPr>
            </w:pPr>
          </w:p>
        </w:tc>
      </w:tr>
      <w:tr w:rsidR="004E06A1" w:rsidRPr="005113BC" w14:paraId="1644CD08"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A9BEA2" w14:textId="47BE7329" w:rsidR="004E06A1" w:rsidRPr="005113BC" w:rsidRDefault="004E06A1" w:rsidP="00C9432C">
            <w:pPr>
              <w:rPr>
                <w:sz w:val="20"/>
                <w:szCs w:val="20"/>
              </w:rPr>
            </w:pPr>
            <w:r w:rsidRPr="005113BC">
              <w:rPr>
                <w:sz w:val="20"/>
              </w:rPr>
              <w:t>641</w:t>
            </w:r>
            <w:r w:rsidR="00171882" w:rsidRPr="005113BC">
              <w:rPr>
                <w:sz w:val="20"/>
              </w:rPr>
              <w:t>0</w:t>
            </w:r>
            <w:r w:rsidR="008B221B" w:rsidRPr="005113BC">
              <w:t xml:space="preserve"> </w:t>
            </w:r>
            <w:r w:rsidR="008B221B" w:rsidRPr="005113BC">
              <w:rPr>
                <w:sz w:val="20"/>
              </w:rPr>
              <w:t>Mitri zālāji periodiski izžūstošās augsnēs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030B90" w14:textId="1FD06631" w:rsidR="004E06A1" w:rsidRPr="005113BC" w:rsidRDefault="004E06A1" w:rsidP="00C9432C">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DF94C9" w14:textId="77777777" w:rsidR="004E06A1" w:rsidRPr="005113BC" w:rsidRDefault="004E06A1" w:rsidP="00C9432C">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15BDE6E" w14:textId="38FF2112" w:rsidR="004E06A1" w:rsidRPr="005113BC" w:rsidRDefault="004E06A1" w:rsidP="00C9432C">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70DBBC" w14:textId="316ED1A2" w:rsidR="004E06A1" w:rsidRPr="005113BC" w:rsidRDefault="004E06A1" w:rsidP="00C9432C">
            <w:pPr>
              <w:jc w:val="center"/>
              <w:rPr>
                <w:color w:val="000000"/>
                <w:sz w:val="20"/>
                <w:szCs w:val="20"/>
              </w:rPr>
            </w:pPr>
            <w:r w:rsidRPr="005113BC">
              <w:rPr>
                <w:color w:val="000000"/>
                <w:sz w:val="20"/>
                <w:szCs w:val="20"/>
              </w:rPr>
              <w:t>X</w:t>
            </w:r>
          </w:p>
        </w:tc>
      </w:tr>
      <w:tr w:rsidR="004E06A1" w:rsidRPr="005113BC" w14:paraId="74D25E59"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40352B" w14:textId="7023876E" w:rsidR="004E06A1" w:rsidRPr="005113BC" w:rsidRDefault="004E06A1" w:rsidP="00A012C5">
            <w:pPr>
              <w:rPr>
                <w:sz w:val="20"/>
                <w:szCs w:val="20"/>
              </w:rPr>
            </w:pPr>
            <w:r w:rsidRPr="005113BC">
              <w:rPr>
                <w:sz w:val="20"/>
                <w:szCs w:val="20"/>
              </w:rPr>
              <w:t>6430 Eitrofas augsto lakstaugu audzes (poligoni, kas atbilst zālāju biotopam vai potenciālajam zālāju biotopam)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D4495E7"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378C3E"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0C11BF" w14:textId="3B1F1CCD"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11A387" w14:textId="77777777" w:rsidR="004E06A1" w:rsidRPr="005113BC" w:rsidRDefault="004E06A1" w:rsidP="00A012C5">
            <w:pPr>
              <w:jc w:val="center"/>
              <w:rPr>
                <w:color w:val="000000"/>
                <w:sz w:val="20"/>
                <w:szCs w:val="20"/>
              </w:rPr>
            </w:pPr>
          </w:p>
        </w:tc>
      </w:tr>
      <w:tr w:rsidR="004E06A1" w:rsidRPr="005113BC" w14:paraId="785AEDB8"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8B7039" w14:textId="393C854A" w:rsidR="004E06A1" w:rsidRPr="005113BC" w:rsidRDefault="004E06A1" w:rsidP="00C9432C">
            <w:pPr>
              <w:rPr>
                <w:sz w:val="20"/>
                <w:szCs w:val="20"/>
              </w:rPr>
            </w:pPr>
            <w:r w:rsidRPr="005113BC">
              <w:rPr>
                <w:sz w:val="20"/>
              </w:rPr>
              <w:t>6450</w:t>
            </w:r>
            <w:r w:rsidR="008B221B" w:rsidRPr="005113BC">
              <w:rPr>
                <w:sz w:val="20"/>
              </w:rPr>
              <w:t xml:space="preserve"> Palieņu zālāji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5D3A88" w14:textId="77777777" w:rsidR="004E06A1" w:rsidRPr="005113BC" w:rsidRDefault="004E06A1" w:rsidP="00C9432C">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19B6F1C" w14:textId="77777777" w:rsidR="004E06A1" w:rsidRPr="005113BC" w:rsidRDefault="004E06A1" w:rsidP="00C9432C">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302812D" w14:textId="5A8ABADA" w:rsidR="004E06A1" w:rsidRPr="005113BC" w:rsidRDefault="004E06A1" w:rsidP="00C9432C">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2228CDD" w14:textId="77777777" w:rsidR="004E06A1" w:rsidRPr="005113BC" w:rsidRDefault="004E06A1" w:rsidP="00C9432C">
            <w:pPr>
              <w:jc w:val="center"/>
              <w:rPr>
                <w:color w:val="000000"/>
                <w:sz w:val="20"/>
                <w:szCs w:val="20"/>
              </w:rPr>
            </w:pPr>
          </w:p>
        </w:tc>
      </w:tr>
      <w:tr w:rsidR="004E06A1" w:rsidRPr="005113BC" w14:paraId="3EFA2BF0"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74D4C2E" w14:textId="40D0C041" w:rsidR="004E06A1" w:rsidRPr="005113BC" w:rsidRDefault="004E06A1" w:rsidP="00A012C5">
            <w:pPr>
              <w:rPr>
                <w:sz w:val="20"/>
              </w:rPr>
            </w:pPr>
            <w:r w:rsidRPr="005113BC">
              <w:rPr>
                <w:sz w:val="20"/>
              </w:rPr>
              <w:t>6510</w:t>
            </w:r>
            <w:r w:rsidR="008B221B" w:rsidRPr="005113BC">
              <w:rPr>
                <w:sz w:val="20"/>
              </w:rPr>
              <w:t xml:space="preserve"> Mēreni mitras pļavas </w:t>
            </w:r>
            <w:r w:rsidRPr="005113BC">
              <w:rPr>
                <w:sz w:val="20"/>
              </w:rPr>
              <w:t>2</w:t>
            </w:r>
            <w:r w:rsidR="005144B3">
              <w:rPr>
                <w:sz w:val="20"/>
              </w:rPr>
              <w:t>.</w:t>
            </w:r>
            <w:r w:rsidR="008B221B" w:rsidRPr="005113BC">
              <w:rPr>
                <w:sz w:val="20"/>
              </w:rPr>
              <w:t xml:space="preserve"> variants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B70773F" w14:textId="5C533448"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49B9383"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76EA85" w14:textId="3F49F4B5"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0FD9AA" w14:textId="717A4405" w:rsidR="004E06A1" w:rsidRPr="005113BC" w:rsidRDefault="004E06A1" w:rsidP="00A012C5">
            <w:pPr>
              <w:jc w:val="center"/>
              <w:rPr>
                <w:color w:val="000000"/>
                <w:sz w:val="20"/>
                <w:szCs w:val="20"/>
              </w:rPr>
            </w:pPr>
            <w:r w:rsidRPr="005113BC">
              <w:rPr>
                <w:color w:val="000000"/>
                <w:sz w:val="20"/>
                <w:szCs w:val="20"/>
              </w:rPr>
              <w:t>X</w:t>
            </w:r>
          </w:p>
        </w:tc>
      </w:tr>
      <w:tr w:rsidR="004E06A1" w:rsidRPr="005113BC" w14:paraId="72DA793B"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377A72" w14:textId="479016A8" w:rsidR="004E06A1" w:rsidRPr="005113BC" w:rsidRDefault="004E06A1" w:rsidP="00A012C5">
            <w:pPr>
              <w:rPr>
                <w:sz w:val="20"/>
                <w:szCs w:val="20"/>
                <w:highlight w:val="yellow"/>
              </w:rPr>
            </w:pPr>
            <w:r w:rsidRPr="005113BC">
              <w:rPr>
                <w:sz w:val="20"/>
                <w:szCs w:val="20"/>
              </w:rPr>
              <w:lastRenderedPageBreak/>
              <w:t>Meža lauces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161302B"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81C9C6" w14:textId="3EE06661"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2676D6"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A9DBA3" w14:textId="77777777" w:rsidR="004E06A1" w:rsidRPr="005113BC" w:rsidRDefault="004E06A1" w:rsidP="00A012C5">
            <w:pPr>
              <w:jc w:val="center"/>
              <w:rPr>
                <w:color w:val="000000"/>
                <w:sz w:val="20"/>
                <w:szCs w:val="20"/>
              </w:rPr>
            </w:pPr>
          </w:p>
        </w:tc>
      </w:tr>
      <w:tr w:rsidR="004E06A1" w:rsidRPr="005113BC" w14:paraId="1CD75554"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CE5C74" w14:textId="0ABAE007" w:rsidR="004E06A1" w:rsidRPr="005113BC" w:rsidRDefault="004E06A1" w:rsidP="00A012C5">
            <w:pPr>
              <w:rPr>
                <w:sz w:val="20"/>
                <w:szCs w:val="20"/>
              </w:rPr>
            </w:pPr>
            <w:r w:rsidRPr="005113BC">
              <w:rPr>
                <w:sz w:val="20"/>
                <w:szCs w:val="20"/>
              </w:rPr>
              <w:t xml:space="preserve">7230 Kaļķaini zāļu purvi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BDAAF9" w14:textId="2732861E"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C5514AF"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7074B93"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DEB239D" w14:textId="77777777" w:rsidR="004E06A1" w:rsidRPr="005113BC" w:rsidRDefault="004E06A1" w:rsidP="00A012C5">
            <w:pPr>
              <w:jc w:val="center"/>
              <w:rPr>
                <w:color w:val="000000"/>
                <w:sz w:val="20"/>
                <w:szCs w:val="20"/>
              </w:rPr>
            </w:pPr>
          </w:p>
        </w:tc>
      </w:tr>
      <w:tr w:rsidR="004E06A1" w:rsidRPr="005113BC" w14:paraId="01E502E0"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1F13ECC" w14:textId="24CFF9D4" w:rsidR="004E06A1" w:rsidRPr="005113BC" w:rsidRDefault="004E06A1" w:rsidP="00A012C5">
            <w:pPr>
              <w:rPr>
                <w:sz w:val="20"/>
                <w:szCs w:val="20"/>
              </w:rPr>
            </w:pPr>
            <w:r w:rsidRPr="005113BC">
              <w:rPr>
                <w:sz w:val="20"/>
                <w:szCs w:val="20"/>
              </w:rPr>
              <w:t>7140 Pārejas purvi un slīkšņas (atklātos biotopos 50 m</w:t>
            </w:r>
            <w:r w:rsidR="00306290" w:rsidRPr="005113BC">
              <w:rPr>
                <w:sz w:val="20"/>
                <w:szCs w:val="20"/>
              </w:rPr>
              <w:t>etru</w:t>
            </w:r>
            <w:r w:rsidRPr="005113BC">
              <w:rPr>
                <w:sz w:val="20"/>
                <w:szCs w:val="20"/>
              </w:rPr>
              <w:t xml:space="preserve"> josl</w:t>
            </w:r>
            <w:r w:rsidR="00306290" w:rsidRPr="005113BC">
              <w:rPr>
                <w:sz w:val="20"/>
                <w:szCs w:val="20"/>
              </w:rPr>
              <w:t>a</w:t>
            </w:r>
            <w:r w:rsidRPr="005113BC">
              <w:rPr>
                <w:sz w:val="20"/>
                <w:szCs w:val="20"/>
              </w:rPr>
              <w:t xml:space="preserve"> uz abām pusēm no purva robežas)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F02E297" w14:textId="06BFE4D8"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BB8375"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AF2015"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96E93C8" w14:textId="77777777" w:rsidR="004E06A1" w:rsidRPr="005113BC" w:rsidRDefault="004E06A1" w:rsidP="00A012C5">
            <w:pPr>
              <w:jc w:val="center"/>
              <w:rPr>
                <w:color w:val="000000"/>
                <w:sz w:val="20"/>
                <w:szCs w:val="20"/>
              </w:rPr>
            </w:pPr>
          </w:p>
        </w:tc>
      </w:tr>
      <w:tr w:rsidR="004E06A1" w:rsidRPr="005113BC" w14:paraId="4017373D"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BF139E8" w14:textId="59AFF4C2" w:rsidR="004E06A1" w:rsidRPr="005113BC" w:rsidRDefault="004E06A1" w:rsidP="00A012C5">
            <w:pPr>
              <w:rPr>
                <w:sz w:val="20"/>
                <w:szCs w:val="20"/>
              </w:rPr>
            </w:pPr>
            <w:r w:rsidRPr="005113BC">
              <w:rPr>
                <w:sz w:val="20"/>
                <w:szCs w:val="20"/>
              </w:rPr>
              <w:t xml:space="preserve">BVZ un mežu (lapkoku vai jaukti meži ar ošiem </w:t>
            </w:r>
            <w:r w:rsidRPr="005113BC">
              <w:rPr>
                <w:i/>
                <w:sz w:val="20"/>
                <w:szCs w:val="20"/>
              </w:rPr>
              <w:t xml:space="preserve">Fraxinus excelsior </w:t>
            </w:r>
            <w:r w:rsidRPr="005113BC">
              <w:rPr>
                <w:sz w:val="20"/>
                <w:szCs w:val="20"/>
              </w:rPr>
              <w:t xml:space="preserve">un/vai apsēm </w:t>
            </w:r>
            <w:r w:rsidRPr="005113BC">
              <w:rPr>
                <w:i/>
                <w:sz w:val="20"/>
                <w:szCs w:val="20"/>
              </w:rPr>
              <w:t>Populus tremula</w:t>
            </w:r>
            <w:r w:rsidRPr="005113BC">
              <w:rPr>
                <w:sz w:val="20"/>
                <w:szCs w:val="20"/>
              </w:rPr>
              <w:t xml:space="preserve"> sastāvā) ekotonu joslas (BVZ, PBVZ un ilggadīgie zālāji 100 m joslā no meža sienas + mežu josla 50 m platumā)</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0472A36"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52B248D" w14:textId="63347F5B" w:rsidR="004E06A1" w:rsidRPr="005113BC" w:rsidRDefault="00306290" w:rsidP="00A012C5">
            <w:pPr>
              <w:jc w:val="center"/>
              <w:rPr>
                <w:color w:val="000000"/>
                <w:sz w:val="20"/>
                <w:szCs w:val="20"/>
              </w:rPr>
            </w:pPr>
            <w:r w:rsidRPr="005113BC">
              <w:rPr>
                <w:color w:val="000000"/>
                <w:sz w:val="20"/>
                <w:szCs w:val="20"/>
              </w:rPr>
              <w:t>(</w:t>
            </w:r>
            <w:r w:rsidR="004E06A1" w:rsidRPr="005113BC">
              <w:rPr>
                <w:color w:val="000000"/>
                <w:sz w:val="20"/>
                <w:szCs w:val="20"/>
              </w:rPr>
              <w:t>X</w:t>
            </w:r>
            <w:r w:rsidRPr="005113BC">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325DAE9"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4C047F" w14:textId="77777777" w:rsidR="004E06A1" w:rsidRPr="005113BC" w:rsidRDefault="004E06A1" w:rsidP="00A012C5">
            <w:pPr>
              <w:jc w:val="center"/>
              <w:rPr>
                <w:color w:val="000000"/>
                <w:sz w:val="20"/>
                <w:szCs w:val="20"/>
              </w:rPr>
            </w:pPr>
          </w:p>
        </w:tc>
      </w:tr>
      <w:tr w:rsidR="004E06A1" w:rsidRPr="005113BC" w14:paraId="2FEE6920" w14:textId="77777777" w:rsidTr="00F846A9">
        <w:trPr>
          <w:trHeight w:val="300"/>
        </w:trPr>
        <w:tc>
          <w:tcPr>
            <w:tcW w:w="34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29BCCB" w14:textId="642F6E40" w:rsidR="004E06A1" w:rsidRPr="005113BC" w:rsidRDefault="004E06A1" w:rsidP="00A012C5">
            <w:pPr>
              <w:rPr>
                <w:sz w:val="20"/>
                <w:szCs w:val="20"/>
              </w:rPr>
            </w:pPr>
            <w:r w:rsidRPr="005113BC">
              <w:rPr>
                <w:sz w:val="20"/>
                <w:szCs w:val="20"/>
              </w:rPr>
              <w:t>BVZ, PBVZ un ilggadīgie zālāji, kas lokalizēti upju, ezeru vai dīķu palienes 100 m joslā.</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3CAF09"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C13A656" w14:textId="77777777" w:rsidR="004E06A1" w:rsidRPr="005113BC" w:rsidRDefault="004E06A1" w:rsidP="00A012C5">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8E128AD" w14:textId="41C4804A" w:rsidR="004E06A1" w:rsidRPr="005113BC" w:rsidRDefault="004E06A1" w:rsidP="00A012C5">
            <w:pPr>
              <w:jc w:val="center"/>
              <w:rPr>
                <w:color w:val="000000"/>
                <w:sz w:val="20"/>
                <w:szCs w:val="20"/>
              </w:rPr>
            </w:pPr>
            <w:r w:rsidRPr="005113BC">
              <w:rPr>
                <w:color w:val="000000"/>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E2635F" w14:textId="77777777" w:rsidR="004E06A1" w:rsidRPr="005113BC" w:rsidRDefault="004E06A1" w:rsidP="00A012C5">
            <w:pPr>
              <w:jc w:val="center"/>
              <w:rPr>
                <w:color w:val="000000"/>
                <w:sz w:val="20"/>
                <w:szCs w:val="20"/>
              </w:rPr>
            </w:pPr>
          </w:p>
        </w:tc>
      </w:tr>
    </w:tbl>
    <w:bookmarkEnd w:id="2"/>
    <w:p w14:paraId="3381C162" w14:textId="0D66B9C4" w:rsidR="00CC2969" w:rsidRPr="005113BC" w:rsidRDefault="008B221B" w:rsidP="00324EF1">
      <w:pPr>
        <w:jc w:val="both"/>
        <w:rPr>
          <w:b/>
          <w:i/>
        </w:rPr>
      </w:pPr>
      <w:r w:rsidRPr="005113BC">
        <w:rPr>
          <w:b/>
          <w:i/>
          <w:sz w:val="20"/>
          <w:szCs w:val="20"/>
        </w:rPr>
        <w:t>Paskaidrojumi: X - optimālie biotopi; (X) suboptimālie biotopi.</w:t>
      </w:r>
    </w:p>
    <w:p w14:paraId="17656F1E" w14:textId="77777777" w:rsidR="00324EF1" w:rsidRPr="005113BC" w:rsidRDefault="00324EF1" w:rsidP="00324EF1">
      <w:pPr>
        <w:ind w:firstLine="567"/>
        <w:jc w:val="both"/>
        <w:rPr>
          <w:iCs/>
        </w:rPr>
      </w:pPr>
    </w:p>
    <w:p w14:paraId="3960098D" w14:textId="500CFDA4" w:rsidR="009E516F" w:rsidRPr="00F846A9" w:rsidRDefault="009E516F" w:rsidP="009E516F">
      <w:pPr>
        <w:pStyle w:val="ListParagraph"/>
        <w:numPr>
          <w:ilvl w:val="0"/>
          <w:numId w:val="2"/>
        </w:numPr>
        <w:ind w:left="284" w:hanging="284"/>
        <w:jc w:val="both"/>
        <w:rPr>
          <w:b/>
          <w:color w:val="0070C0"/>
        </w:rPr>
      </w:pPr>
      <w:r w:rsidRPr="00F846A9">
        <w:rPr>
          <w:b/>
          <w:color w:val="0070C0"/>
        </w:rPr>
        <w:t>Darba veicēju kvalifikācija</w:t>
      </w:r>
    </w:p>
    <w:p w14:paraId="1063454B" w14:textId="2147ECAF" w:rsidR="00324EF1" w:rsidRPr="005113BC" w:rsidRDefault="00324EF1" w:rsidP="00433C04">
      <w:pPr>
        <w:jc w:val="both"/>
        <w:rPr>
          <w:b/>
        </w:rPr>
      </w:pPr>
    </w:p>
    <w:p w14:paraId="131CEF76" w14:textId="6D20946E" w:rsidR="00433C04" w:rsidRPr="005113BC" w:rsidRDefault="00433C04" w:rsidP="00544BD2">
      <w:pPr>
        <w:shd w:val="clear" w:color="auto" w:fill="FFFFFF" w:themeFill="background1"/>
        <w:jc w:val="both"/>
      </w:pPr>
      <w:r w:rsidRPr="005113BC">
        <w:rPr>
          <w:shd w:val="clear" w:color="auto" w:fill="FFFFFF" w:themeFill="background1"/>
        </w:rPr>
        <w:t>Dienastauriņu uzskaiti veic speciālists ar pieredzi dienastauriņu faunas izpētē. Pirms monitoringa uzsākšanas nepieciešams veikt izpildītāju apmācību, iekļaujot Biotopu direktīvas II un IV pielikumā iekļauto dienastauriņu sugu noteikšanu, kā arī tiem nozīmīgo augu sugu (skat.</w:t>
      </w:r>
      <w:r w:rsidR="00544BD2" w:rsidRPr="005113BC">
        <w:rPr>
          <w:shd w:val="clear" w:color="auto" w:fill="FFFFFF" w:themeFill="background1"/>
        </w:rPr>
        <w:t xml:space="preserve"> 3. tabula,</w:t>
      </w:r>
      <w:r w:rsidR="009528A3" w:rsidRPr="005113BC">
        <w:rPr>
          <w:shd w:val="clear" w:color="auto" w:fill="FFFFFF" w:themeFill="background1"/>
        </w:rPr>
        <w:t xml:space="preserve"> mikrobiotopa raksturojums</w:t>
      </w:r>
      <w:r w:rsidRPr="005113BC">
        <w:rPr>
          <w:shd w:val="clear" w:color="auto" w:fill="FFFFFF" w:themeFill="background1"/>
        </w:rPr>
        <w:t>.) atpazīšanu. Izpildītājam ir jābūt pieejamām iepriekšējo gadu monitoringa atskaitēm. Gadījumā, ja novērojumu izpildītājs mainās, ir nepieciešama interkalibrācija starp izpildītājiem.</w:t>
      </w:r>
    </w:p>
    <w:p w14:paraId="1673F054" w14:textId="236C447F" w:rsidR="00544BD2" w:rsidRPr="005113BC" w:rsidRDefault="00544BD2" w:rsidP="00544BD2">
      <w:pPr>
        <w:jc w:val="both"/>
      </w:pPr>
      <w:r w:rsidRPr="005113BC">
        <w:t>E</w:t>
      </w:r>
      <w:r w:rsidR="00433C04" w:rsidRPr="005113BC">
        <w:t>kspertam jā</w:t>
      </w:r>
      <w:r w:rsidRPr="005113BC">
        <w:t>at</w:t>
      </w:r>
      <w:r w:rsidR="00433C04" w:rsidRPr="005113BC">
        <w:t xml:space="preserve">pazīst </w:t>
      </w:r>
      <w:r w:rsidR="008C7A73" w:rsidRPr="005113BC">
        <w:t>Latvijā sastopamās dižtauriņu (Papilionidae), balteņu (Pieridae)</w:t>
      </w:r>
      <w:r w:rsidR="00A84DD0" w:rsidRPr="005113BC">
        <w:t>, zilenīšu (Lycaenidae) un</w:t>
      </w:r>
      <w:r w:rsidR="008C7A73" w:rsidRPr="005113BC">
        <w:t xml:space="preserve"> raibeņu (Nymphalidae) dzimtu</w:t>
      </w:r>
      <w:r w:rsidR="00433C04" w:rsidRPr="005113BC">
        <w:t xml:space="preserve"> </w:t>
      </w:r>
      <w:r w:rsidR="00A84DD0" w:rsidRPr="005113BC">
        <w:t>sugas</w:t>
      </w:r>
      <w:r w:rsidRPr="005113BC">
        <w:t xml:space="preserve"> un jā</w:t>
      </w:r>
      <w:r w:rsidR="00433C04" w:rsidRPr="005113BC">
        <w:t>prot atpazīt monitorējamajām sugām raksturīgos biotopus un mikrobiotopus</w:t>
      </w:r>
      <w:r w:rsidRPr="005113BC">
        <w:t xml:space="preserve"> (skat. 3. tabula).  Eksperts vispārīgi pārzina monitorējamo sugu svarīgākās ekoloģiskās prasības, to populācijas lielumu un izplatību ietekmējošos ekoloģiskos faktorus, uzvedības īpatnības, fenoloģiju u</w:t>
      </w:r>
      <w:r w:rsidR="005144B3">
        <w:t>.</w:t>
      </w:r>
      <w:r w:rsidRPr="005113BC">
        <w:t>tml.</w:t>
      </w:r>
    </w:p>
    <w:p w14:paraId="16A5E73D" w14:textId="77777777" w:rsidR="00544BD2" w:rsidRPr="005113BC" w:rsidRDefault="00544BD2" w:rsidP="00544BD2">
      <w:pPr>
        <w:pStyle w:val="ListParagraph"/>
        <w:ind w:left="142"/>
        <w:jc w:val="both"/>
      </w:pPr>
    </w:p>
    <w:p w14:paraId="6FB56526" w14:textId="3A1D19C9" w:rsidR="00993FBC" w:rsidRPr="005113BC" w:rsidRDefault="009528A3" w:rsidP="009528A3">
      <w:pPr>
        <w:ind w:left="360"/>
        <w:jc w:val="both"/>
        <w:rPr>
          <w:b/>
          <w:sz w:val="20"/>
          <w:szCs w:val="20"/>
        </w:rPr>
      </w:pPr>
      <w:r w:rsidRPr="005113BC">
        <w:rPr>
          <w:b/>
          <w:sz w:val="20"/>
          <w:szCs w:val="20"/>
        </w:rPr>
        <w:t>3.tabula. Prioritāri monitorējamo sugu</w:t>
      </w:r>
      <w:r w:rsidR="008B221B" w:rsidRPr="005113BC">
        <w:rPr>
          <w:b/>
          <w:sz w:val="20"/>
          <w:szCs w:val="20"/>
        </w:rPr>
        <w:t xml:space="preserve"> kāpuru attīstības mikrobiotopu raksturojums.</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88"/>
      </w:tblGrid>
      <w:tr w:rsidR="00993FBC" w:rsidRPr="005113BC" w14:paraId="3119E067" w14:textId="77777777" w:rsidTr="00993FBC">
        <w:tc>
          <w:tcPr>
            <w:tcW w:w="2155" w:type="dxa"/>
            <w:shd w:val="clear" w:color="auto" w:fill="00FF00"/>
          </w:tcPr>
          <w:p w14:paraId="2F7B40EE" w14:textId="56B2F9A3" w:rsidR="00993FBC" w:rsidRPr="005113BC" w:rsidRDefault="00993FBC" w:rsidP="00993FBC">
            <w:pPr>
              <w:jc w:val="center"/>
              <w:rPr>
                <w:b/>
                <w:sz w:val="20"/>
                <w:szCs w:val="20"/>
              </w:rPr>
            </w:pPr>
            <w:r w:rsidRPr="005113BC">
              <w:rPr>
                <w:b/>
                <w:sz w:val="20"/>
                <w:szCs w:val="20"/>
              </w:rPr>
              <w:t>Suga</w:t>
            </w:r>
          </w:p>
        </w:tc>
        <w:tc>
          <w:tcPr>
            <w:tcW w:w="7088" w:type="dxa"/>
            <w:shd w:val="clear" w:color="auto" w:fill="00FF00"/>
          </w:tcPr>
          <w:p w14:paraId="2676A80E" w14:textId="77777777" w:rsidR="00993FBC" w:rsidRPr="005113BC" w:rsidRDefault="00993FBC" w:rsidP="00993FBC">
            <w:pPr>
              <w:jc w:val="center"/>
              <w:rPr>
                <w:b/>
                <w:sz w:val="20"/>
                <w:szCs w:val="20"/>
              </w:rPr>
            </w:pPr>
            <w:r w:rsidRPr="005113BC">
              <w:rPr>
                <w:b/>
                <w:sz w:val="20"/>
                <w:szCs w:val="20"/>
              </w:rPr>
              <w:t>Biotopa un mikrobiotopa raksturojums</w:t>
            </w:r>
          </w:p>
        </w:tc>
      </w:tr>
      <w:tr w:rsidR="00993FBC" w:rsidRPr="005113BC" w14:paraId="7D00EAAC" w14:textId="77777777" w:rsidTr="00993FBC">
        <w:tc>
          <w:tcPr>
            <w:tcW w:w="2155" w:type="dxa"/>
          </w:tcPr>
          <w:p w14:paraId="3A3FF089" w14:textId="77777777" w:rsidR="00993FBC" w:rsidRPr="005113BC" w:rsidRDefault="00993FBC" w:rsidP="001A669E">
            <w:pPr>
              <w:rPr>
                <w:sz w:val="20"/>
                <w:szCs w:val="20"/>
              </w:rPr>
            </w:pPr>
            <w:r w:rsidRPr="005113BC">
              <w:rPr>
                <w:sz w:val="20"/>
                <w:szCs w:val="20"/>
              </w:rPr>
              <w:t xml:space="preserve">Skabiozu pļavraibenis </w:t>
            </w:r>
            <w:r w:rsidRPr="005113BC">
              <w:rPr>
                <w:i/>
                <w:sz w:val="20"/>
                <w:szCs w:val="20"/>
              </w:rPr>
              <w:t>Euphydryas aurinia</w:t>
            </w:r>
          </w:p>
        </w:tc>
        <w:tc>
          <w:tcPr>
            <w:tcW w:w="7088" w:type="dxa"/>
          </w:tcPr>
          <w:p w14:paraId="41FB7E34" w14:textId="081330A8" w:rsidR="00993FBC" w:rsidRPr="005113BC" w:rsidRDefault="00993FBC" w:rsidP="001A669E">
            <w:pPr>
              <w:jc w:val="both"/>
              <w:rPr>
                <w:sz w:val="20"/>
                <w:szCs w:val="20"/>
              </w:rPr>
            </w:pPr>
            <w:r w:rsidRPr="005113BC">
              <w:rPr>
                <w:b/>
                <w:sz w:val="20"/>
                <w:szCs w:val="20"/>
              </w:rPr>
              <w:t>Biotops</w:t>
            </w:r>
            <w:r w:rsidRPr="005113BC">
              <w:rPr>
                <w:sz w:val="20"/>
                <w:szCs w:val="20"/>
              </w:rPr>
              <w:t xml:space="preserve">. Suga ir sastopama pļavās, kaļķainos zāļu purvos, kur atrodami tās kāpuru barības augi - pļavas vilkmēle </w:t>
            </w:r>
            <w:r w:rsidRPr="005113BC">
              <w:rPr>
                <w:i/>
                <w:sz w:val="20"/>
                <w:szCs w:val="20"/>
              </w:rPr>
              <w:t>Succisa pratensis</w:t>
            </w:r>
            <w:r w:rsidRPr="005113BC">
              <w:rPr>
                <w:sz w:val="20"/>
                <w:szCs w:val="20"/>
              </w:rPr>
              <w:t xml:space="preserve">, tīruma pēterene </w:t>
            </w:r>
            <w:r w:rsidRPr="005113BC">
              <w:rPr>
                <w:i/>
                <w:sz w:val="20"/>
                <w:szCs w:val="20"/>
              </w:rPr>
              <w:t>Knautia arvensis</w:t>
            </w:r>
            <w:r w:rsidRPr="005113BC">
              <w:rPr>
                <w:sz w:val="20"/>
                <w:szCs w:val="20"/>
              </w:rPr>
              <w:t xml:space="preserve">, baložu krievpoga </w:t>
            </w:r>
            <w:r w:rsidRPr="005113BC">
              <w:rPr>
                <w:i/>
                <w:iCs/>
                <w:sz w:val="20"/>
                <w:szCs w:val="20"/>
              </w:rPr>
              <w:t xml:space="preserve">Scabiosa columbaria, </w:t>
            </w:r>
            <w:r w:rsidRPr="005113BC">
              <w:rPr>
                <w:iCs/>
                <w:sz w:val="20"/>
                <w:szCs w:val="20"/>
              </w:rPr>
              <w:t xml:space="preserve">meža dipsaks </w:t>
            </w:r>
            <w:r w:rsidRPr="005113BC">
              <w:rPr>
                <w:bCs/>
                <w:i/>
                <w:color w:val="394044"/>
                <w:sz w:val="20"/>
                <w:szCs w:val="20"/>
              </w:rPr>
              <w:t>Dipsacus sylvestris</w:t>
            </w:r>
            <w:r w:rsidR="00443790" w:rsidRPr="005113BC">
              <w:rPr>
                <w:bCs/>
                <w:i/>
                <w:color w:val="394044"/>
                <w:sz w:val="20"/>
                <w:szCs w:val="20"/>
              </w:rPr>
              <w:t xml:space="preserve"> </w:t>
            </w:r>
            <w:r w:rsidR="00443790" w:rsidRPr="005113BC">
              <w:rPr>
                <w:bCs/>
                <w:color w:val="394044"/>
                <w:sz w:val="20"/>
                <w:szCs w:val="20"/>
              </w:rPr>
              <w:t>(</w:t>
            </w:r>
            <w:r w:rsidR="00443790" w:rsidRPr="005113BC">
              <w:rPr>
                <w:sz w:val="20"/>
                <w:szCs w:val="20"/>
              </w:rPr>
              <w:t>Wiemers et al. 2012, Savenkovs</w:t>
            </w:r>
            <w:r w:rsidR="00DB1878" w:rsidRPr="005113BC">
              <w:rPr>
                <w:sz w:val="20"/>
                <w:szCs w:val="20"/>
              </w:rPr>
              <w:t xml:space="preserve"> 2017</w:t>
            </w:r>
            <w:r w:rsidR="00443790" w:rsidRPr="005113BC">
              <w:rPr>
                <w:bCs/>
                <w:color w:val="394044"/>
                <w:sz w:val="20"/>
                <w:szCs w:val="20"/>
              </w:rPr>
              <w:t>)</w:t>
            </w:r>
            <w:r w:rsidRPr="005113BC">
              <w:rPr>
                <w:bCs/>
                <w:i/>
                <w:color w:val="394044"/>
                <w:sz w:val="20"/>
                <w:szCs w:val="20"/>
              </w:rPr>
              <w:t>.</w:t>
            </w:r>
            <w:r w:rsidRPr="005113BC">
              <w:rPr>
                <w:i/>
                <w:sz w:val="20"/>
                <w:szCs w:val="20"/>
              </w:rPr>
              <w:t xml:space="preserve"> </w:t>
            </w:r>
            <w:r w:rsidRPr="005113BC">
              <w:rPr>
                <w:sz w:val="20"/>
                <w:szCs w:val="20"/>
              </w:rPr>
              <w:t>Kāpuri veido kopīgas ligzdas uz barības augiem.</w:t>
            </w:r>
          </w:p>
          <w:p w14:paraId="682560D6" w14:textId="77777777" w:rsidR="00993FBC" w:rsidRPr="005113BC" w:rsidRDefault="00993FBC" w:rsidP="001A669E">
            <w:pPr>
              <w:jc w:val="both"/>
              <w:rPr>
                <w:b/>
                <w:sz w:val="20"/>
                <w:szCs w:val="20"/>
              </w:rPr>
            </w:pPr>
            <w:r w:rsidRPr="005113BC">
              <w:rPr>
                <w:b/>
                <w:bCs/>
                <w:sz w:val="20"/>
                <w:szCs w:val="20"/>
              </w:rPr>
              <w:t>Mikrobiotops.</w:t>
            </w:r>
            <w:r w:rsidRPr="005113BC">
              <w:rPr>
                <w:sz w:val="20"/>
                <w:szCs w:val="20"/>
              </w:rPr>
              <w:t xml:space="preserve"> Tauriņi biotopā izvēlas saulainas, vēja aizsargātas vietas ar ziedošiem augiem. </w:t>
            </w:r>
          </w:p>
        </w:tc>
      </w:tr>
      <w:tr w:rsidR="00993FBC" w:rsidRPr="005113BC" w14:paraId="41F2A052" w14:textId="77777777" w:rsidTr="00993FBC">
        <w:tc>
          <w:tcPr>
            <w:tcW w:w="2155" w:type="dxa"/>
          </w:tcPr>
          <w:p w14:paraId="23120E90" w14:textId="77777777" w:rsidR="00993FBC" w:rsidRPr="005113BC" w:rsidRDefault="00993FBC" w:rsidP="001A669E">
            <w:pPr>
              <w:rPr>
                <w:sz w:val="20"/>
                <w:szCs w:val="20"/>
              </w:rPr>
            </w:pPr>
            <w:r w:rsidRPr="005113BC">
              <w:rPr>
                <w:sz w:val="20"/>
                <w:szCs w:val="20"/>
              </w:rPr>
              <w:t xml:space="preserve">Ošu pļavraibenis </w:t>
            </w:r>
            <w:r w:rsidRPr="005113BC">
              <w:rPr>
                <w:i/>
                <w:sz w:val="20"/>
                <w:szCs w:val="20"/>
              </w:rPr>
              <w:t>Hypodryas maturna</w:t>
            </w:r>
          </w:p>
        </w:tc>
        <w:tc>
          <w:tcPr>
            <w:tcW w:w="7088" w:type="dxa"/>
          </w:tcPr>
          <w:p w14:paraId="06C58188" w14:textId="616CEC43" w:rsidR="00993FBC" w:rsidRPr="005113BC" w:rsidRDefault="00993FBC" w:rsidP="001A669E">
            <w:pPr>
              <w:jc w:val="both"/>
              <w:rPr>
                <w:sz w:val="20"/>
                <w:szCs w:val="20"/>
              </w:rPr>
            </w:pPr>
            <w:r w:rsidRPr="005113BC">
              <w:rPr>
                <w:b/>
                <w:sz w:val="20"/>
                <w:szCs w:val="20"/>
              </w:rPr>
              <w:t>Biotops.</w:t>
            </w:r>
            <w:r w:rsidRPr="005113BC">
              <w:rPr>
                <w:sz w:val="20"/>
                <w:szCs w:val="20"/>
              </w:rPr>
              <w:t xml:space="preserve"> Suga ir sastopama skrajos ošu</w:t>
            </w:r>
            <w:r w:rsidR="00DB1878" w:rsidRPr="005113BC">
              <w:rPr>
                <w:sz w:val="20"/>
                <w:szCs w:val="20"/>
              </w:rPr>
              <w:t xml:space="preserve"> un apšu</w:t>
            </w:r>
            <w:r w:rsidRPr="005113BC">
              <w:rPr>
                <w:sz w:val="20"/>
                <w:szCs w:val="20"/>
              </w:rPr>
              <w:t xml:space="preserve"> mežos un tiešā to tuvumā – mežmalās, mežam pieguļoš</w:t>
            </w:r>
            <w:r w:rsidR="003C4231">
              <w:rPr>
                <w:sz w:val="20"/>
                <w:szCs w:val="20"/>
              </w:rPr>
              <w:t>os</w:t>
            </w:r>
            <w:r w:rsidRPr="005113BC">
              <w:rPr>
                <w:sz w:val="20"/>
                <w:szCs w:val="20"/>
              </w:rPr>
              <w:t xml:space="preserve"> </w:t>
            </w:r>
            <w:r w:rsidR="003C4231">
              <w:rPr>
                <w:sz w:val="20"/>
                <w:szCs w:val="20"/>
              </w:rPr>
              <w:t>zālājos</w:t>
            </w:r>
            <w:r w:rsidRPr="005113BC">
              <w:rPr>
                <w:sz w:val="20"/>
                <w:szCs w:val="20"/>
              </w:rPr>
              <w:t xml:space="preserve">, izcirtumos, meža laucītēs, uz kvartālstigām. Kāpuru attīstības biotops ir ošu </w:t>
            </w:r>
            <w:r w:rsidR="00DB1878" w:rsidRPr="005113BC">
              <w:rPr>
                <w:sz w:val="20"/>
                <w:szCs w:val="20"/>
              </w:rPr>
              <w:t xml:space="preserve">un apšu </w:t>
            </w:r>
            <w:r w:rsidRPr="005113BC">
              <w:rPr>
                <w:sz w:val="20"/>
                <w:szCs w:val="20"/>
              </w:rPr>
              <w:t>meži vai meži ar ošiem</w:t>
            </w:r>
            <w:r w:rsidR="00F31216" w:rsidRPr="005113BC">
              <w:rPr>
                <w:sz w:val="20"/>
                <w:szCs w:val="20"/>
              </w:rPr>
              <w:t xml:space="preserve"> un apsēm. Tā var būt ošu gārša vai arī jebkurš cits mežs ar ošu piejaukumu, neatkarīgi no tā, vai mežs ir sauss vai mitrs. </w:t>
            </w:r>
            <w:r w:rsidRPr="005113BC">
              <w:rPr>
                <w:sz w:val="20"/>
                <w:szCs w:val="20"/>
              </w:rPr>
              <w:t xml:space="preserve"> </w:t>
            </w:r>
            <w:r w:rsidR="00F31216" w:rsidRPr="005113BC">
              <w:rPr>
                <w:sz w:val="20"/>
                <w:szCs w:val="20"/>
              </w:rPr>
              <w:t xml:space="preserve">Mātītes olas dēj uz ošu </w:t>
            </w:r>
            <w:r w:rsidR="00F31216" w:rsidRPr="005113BC">
              <w:rPr>
                <w:i/>
                <w:sz w:val="20"/>
                <w:szCs w:val="20"/>
              </w:rPr>
              <w:t>Fraxinius ecxcelsior</w:t>
            </w:r>
            <w:r w:rsidR="00F31216" w:rsidRPr="005113BC">
              <w:rPr>
                <w:sz w:val="20"/>
                <w:szCs w:val="20"/>
              </w:rPr>
              <w:t xml:space="preserve"> un apšu </w:t>
            </w:r>
            <w:r w:rsidR="00F31216" w:rsidRPr="005113BC">
              <w:rPr>
                <w:i/>
                <w:sz w:val="20"/>
                <w:szCs w:val="20"/>
              </w:rPr>
              <w:t xml:space="preserve">Populus tremula </w:t>
            </w:r>
            <w:r w:rsidR="00F31216" w:rsidRPr="005113BC">
              <w:rPr>
                <w:sz w:val="20"/>
                <w:szCs w:val="20"/>
              </w:rPr>
              <w:t>lapām. Jaun</w:t>
            </w:r>
            <w:r w:rsidR="00A67CFC" w:rsidRPr="005113BC">
              <w:rPr>
                <w:sz w:val="20"/>
                <w:szCs w:val="20"/>
              </w:rPr>
              <w:t>i kāpuri barojas ar ošu un apšu lapām, pēc</w:t>
            </w:r>
            <w:r w:rsidR="00F31216" w:rsidRPr="005113BC">
              <w:rPr>
                <w:sz w:val="20"/>
                <w:szCs w:val="20"/>
              </w:rPr>
              <w:t xml:space="preserve"> pārziemo</w:t>
            </w:r>
            <w:r w:rsidR="00A67CFC" w:rsidRPr="005113BC">
              <w:rPr>
                <w:sz w:val="20"/>
                <w:szCs w:val="20"/>
              </w:rPr>
              <w:t xml:space="preserve">šanas </w:t>
            </w:r>
            <w:r w:rsidR="00F31216" w:rsidRPr="005113BC">
              <w:rPr>
                <w:sz w:val="20"/>
                <w:szCs w:val="20"/>
              </w:rPr>
              <w:t>turpina individuāli baroties ar ošu vai dažādu lakstaugu (</w:t>
            </w:r>
            <w:r w:rsidR="00A67CFC" w:rsidRPr="005113BC">
              <w:rPr>
                <w:sz w:val="20"/>
                <w:szCs w:val="20"/>
              </w:rPr>
              <w:t>piem. pļavas nārbuļu</w:t>
            </w:r>
            <w:r w:rsidR="00F31216" w:rsidRPr="005113BC">
              <w:rPr>
                <w:sz w:val="20"/>
                <w:szCs w:val="20"/>
              </w:rPr>
              <w:t xml:space="preserve"> </w:t>
            </w:r>
            <w:r w:rsidR="00F31216" w:rsidRPr="005113BC">
              <w:rPr>
                <w:i/>
                <w:sz w:val="20"/>
                <w:szCs w:val="20"/>
              </w:rPr>
              <w:t>Melampyrum pratense</w:t>
            </w:r>
            <w:r w:rsidR="00A67CFC" w:rsidRPr="005113BC">
              <w:rPr>
                <w:sz w:val="20"/>
                <w:szCs w:val="20"/>
              </w:rPr>
              <w:t xml:space="preserve">) lapām </w:t>
            </w:r>
            <w:r w:rsidR="00DB1878" w:rsidRPr="005113BC">
              <w:rPr>
                <w:bCs/>
                <w:color w:val="394044"/>
                <w:sz w:val="20"/>
                <w:szCs w:val="20"/>
              </w:rPr>
              <w:t>(</w:t>
            </w:r>
            <w:r w:rsidR="00194995" w:rsidRPr="005113BC">
              <w:rPr>
                <w:sz w:val="20"/>
              </w:rPr>
              <w:t>Freese et al.  2006</w:t>
            </w:r>
            <w:r w:rsidR="00273C3A">
              <w:rPr>
                <w:sz w:val="20"/>
              </w:rPr>
              <w:t>,</w:t>
            </w:r>
            <w:r w:rsidR="00194995" w:rsidRPr="005113BC">
              <w:rPr>
                <w:sz w:val="16"/>
                <w:szCs w:val="20"/>
              </w:rPr>
              <w:t xml:space="preserve"> </w:t>
            </w:r>
            <w:r w:rsidR="00DB1878" w:rsidRPr="005113BC">
              <w:rPr>
                <w:sz w:val="20"/>
                <w:szCs w:val="20"/>
              </w:rPr>
              <w:t>Wiemers et al. 2012, Savenkovs 2017</w:t>
            </w:r>
            <w:r w:rsidR="00DB1878" w:rsidRPr="005113BC">
              <w:rPr>
                <w:bCs/>
                <w:color w:val="394044"/>
                <w:sz w:val="20"/>
                <w:szCs w:val="20"/>
              </w:rPr>
              <w:t>)</w:t>
            </w:r>
            <w:r w:rsidRPr="005113BC">
              <w:rPr>
                <w:sz w:val="20"/>
                <w:szCs w:val="20"/>
              </w:rPr>
              <w:t xml:space="preserve">. </w:t>
            </w:r>
          </w:p>
          <w:p w14:paraId="6207025D" w14:textId="4B4544A8" w:rsidR="00993FBC" w:rsidRPr="005113BC" w:rsidRDefault="00993FBC" w:rsidP="001A669E">
            <w:pPr>
              <w:jc w:val="both"/>
              <w:rPr>
                <w:b/>
                <w:sz w:val="20"/>
                <w:szCs w:val="20"/>
              </w:rPr>
            </w:pPr>
            <w:r w:rsidRPr="005113BC">
              <w:rPr>
                <w:b/>
                <w:sz w:val="20"/>
                <w:szCs w:val="20"/>
              </w:rPr>
              <w:t>Mikrobiotops.</w:t>
            </w:r>
            <w:r w:rsidRPr="005113BC">
              <w:rPr>
                <w:sz w:val="20"/>
                <w:szCs w:val="20"/>
              </w:rPr>
              <w:t xml:space="preserve"> Tauriņi biotopā izvēlas saulainas, vēja aizsargātas vietas ar ziedošiem augiem. Kāpuru attīstībai noder tikai jauni oši, kas garumā ir zemāki par 5-6 m un atrodas saules apspīdētā vietā.</w:t>
            </w:r>
          </w:p>
        </w:tc>
      </w:tr>
      <w:tr w:rsidR="00993FBC" w:rsidRPr="005113BC" w14:paraId="6B4A492B" w14:textId="77777777" w:rsidTr="00993FBC">
        <w:tc>
          <w:tcPr>
            <w:tcW w:w="2155" w:type="dxa"/>
          </w:tcPr>
          <w:p w14:paraId="7823719F" w14:textId="77777777" w:rsidR="00993FBC" w:rsidRPr="005113BC" w:rsidRDefault="00993FBC" w:rsidP="001A669E">
            <w:pPr>
              <w:rPr>
                <w:sz w:val="20"/>
                <w:szCs w:val="20"/>
              </w:rPr>
            </w:pPr>
            <w:r w:rsidRPr="005113BC">
              <w:rPr>
                <w:sz w:val="20"/>
                <w:szCs w:val="20"/>
              </w:rPr>
              <w:t xml:space="preserve">Zirgskābeņu zilenītis </w:t>
            </w:r>
            <w:r w:rsidRPr="005113BC">
              <w:rPr>
                <w:i/>
                <w:sz w:val="20"/>
                <w:szCs w:val="20"/>
              </w:rPr>
              <w:t>Lycaena dispar</w:t>
            </w:r>
          </w:p>
        </w:tc>
        <w:tc>
          <w:tcPr>
            <w:tcW w:w="7088" w:type="dxa"/>
          </w:tcPr>
          <w:p w14:paraId="02CACB64" w14:textId="4A1D4398" w:rsidR="00993FBC" w:rsidRPr="005113BC" w:rsidRDefault="00993FBC" w:rsidP="001A669E">
            <w:pPr>
              <w:jc w:val="both"/>
              <w:rPr>
                <w:rStyle w:val="st"/>
                <w:sz w:val="20"/>
                <w:szCs w:val="20"/>
              </w:rPr>
            </w:pPr>
            <w:r w:rsidRPr="005113BC">
              <w:rPr>
                <w:rStyle w:val="st"/>
                <w:b/>
                <w:sz w:val="20"/>
                <w:szCs w:val="20"/>
              </w:rPr>
              <w:t>Biotops</w:t>
            </w:r>
            <w:r w:rsidRPr="005113BC">
              <w:rPr>
                <w:rStyle w:val="st"/>
                <w:sz w:val="20"/>
                <w:szCs w:val="20"/>
              </w:rPr>
              <w:t xml:space="preserve">. Pieaugušie tauriņi atrodami dažādos pļavu biotopos, kas var atrasties tālu no kāpuru attīstības biotopa. </w:t>
            </w:r>
            <w:r w:rsidR="00102A0F" w:rsidRPr="005113BC">
              <w:rPr>
                <w:sz w:val="20"/>
                <w:szCs w:val="20"/>
              </w:rPr>
              <w:t xml:space="preserve">Kāpuru attīstības biotops ir mitras pļavas gar ezeriem, upēm, mitrājos ar barības augiem - krastmalu skābeni </w:t>
            </w:r>
            <w:r w:rsidR="00102A0F" w:rsidRPr="005113BC">
              <w:rPr>
                <w:i/>
                <w:sz w:val="20"/>
                <w:szCs w:val="20"/>
              </w:rPr>
              <w:t>Rumex hydrolapathum</w:t>
            </w:r>
            <w:r w:rsidR="00102A0F" w:rsidRPr="005113BC">
              <w:rPr>
                <w:sz w:val="20"/>
                <w:szCs w:val="20"/>
              </w:rPr>
              <w:t xml:space="preserve">, krūzaino skābeni </w:t>
            </w:r>
            <w:r w:rsidR="00102A0F" w:rsidRPr="005113BC">
              <w:rPr>
                <w:i/>
                <w:sz w:val="20"/>
                <w:szCs w:val="20"/>
              </w:rPr>
              <w:t>R. crispus</w:t>
            </w:r>
            <w:r w:rsidR="00102A0F" w:rsidRPr="005113BC">
              <w:rPr>
                <w:sz w:val="20"/>
                <w:szCs w:val="20"/>
              </w:rPr>
              <w:t xml:space="preserve">, </w:t>
            </w:r>
            <w:r w:rsidR="00AC6EA8" w:rsidRPr="005113BC">
              <w:rPr>
                <w:sz w:val="20"/>
                <w:szCs w:val="20"/>
              </w:rPr>
              <w:t xml:space="preserve">struplapu skābeni </w:t>
            </w:r>
            <w:r w:rsidR="00AC6EA8" w:rsidRPr="005113BC">
              <w:rPr>
                <w:rFonts w:eastAsiaTheme="minorHAnsi"/>
                <w:i/>
                <w:iCs/>
                <w:sz w:val="20"/>
                <w:szCs w:val="20"/>
                <w:lang w:eastAsia="en-US"/>
              </w:rPr>
              <w:t>R. obtusifolius</w:t>
            </w:r>
            <w:r w:rsidR="00AC6EA8" w:rsidRPr="005113BC">
              <w:rPr>
                <w:rFonts w:eastAsiaTheme="minorHAnsi"/>
                <w:iCs/>
                <w:sz w:val="20"/>
                <w:szCs w:val="20"/>
                <w:lang w:eastAsia="en-US"/>
              </w:rPr>
              <w:t xml:space="preserve"> un</w:t>
            </w:r>
            <w:r w:rsidR="00AC6EA8" w:rsidRPr="005113BC">
              <w:rPr>
                <w:rFonts w:eastAsiaTheme="minorHAnsi"/>
                <w:i/>
                <w:iCs/>
                <w:sz w:val="20"/>
                <w:szCs w:val="20"/>
                <w:lang w:eastAsia="en-US"/>
              </w:rPr>
              <w:t xml:space="preserve"> </w:t>
            </w:r>
            <w:r w:rsidR="00102A0F" w:rsidRPr="005113BC">
              <w:rPr>
                <w:sz w:val="20"/>
                <w:szCs w:val="20"/>
              </w:rPr>
              <w:t xml:space="preserve">ūdeņu skābeni </w:t>
            </w:r>
            <w:r w:rsidR="00102A0F" w:rsidRPr="005113BC">
              <w:rPr>
                <w:i/>
                <w:sz w:val="20"/>
                <w:szCs w:val="20"/>
              </w:rPr>
              <w:t>R. aquaticus</w:t>
            </w:r>
            <w:r w:rsidRPr="005113BC">
              <w:rPr>
                <w:rStyle w:val="st"/>
                <w:sz w:val="20"/>
                <w:szCs w:val="20"/>
              </w:rPr>
              <w:t xml:space="preserve"> </w:t>
            </w:r>
            <w:r w:rsidR="00102A0F" w:rsidRPr="005113BC">
              <w:rPr>
                <w:bCs/>
                <w:color w:val="394044"/>
                <w:sz w:val="20"/>
                <w:szCs w:val="20"/>
              </w:rPr>
              <w:t>(</w:t>
            </w:r>
            <w:r w:rsidR="00102A0F" w:rsidRPr="005113BC">
              <w:rPr>
                <w:sz w:val="20"/>
                <w:szCs w:val="20"/>
              </w:rPr>
              <w:t>Wiemers et al. 2012, Savenkovs 2017</w:t>
            </w:r>
            <w:r w:rsidR="00102A0F" w:rsidRPr="005113BC">
              <w:rPr>
                <w:bCs/>
                <w:color w:val="394044"/>
                <w:sz w:val="20"/>
                <w:szCs w:val="20"/>
              </w:rPr>
              <w:t>)</w:t>
            </w:r>
            <w:r w:rsidR="00102A0F" w:rsidRPr="005113BC">
              <w:rPr>
                <w:sz w:val="20"/>
                <w:szCs w:val="20"/>
              </w:rPr>
              <w:t>.</w:t>
            </w:r>
          </w:p>
          <w:p w14:paraId="38E95AB9" w14:textId="77777777" w:rsidR="00993FBC" w:rsidRPr="005113BC" w:rsidRDefault="00993FBC" w:rsidP="001A669E">
            <w:pPr>
              <w:jc w:val="both"/>
              <w:rPr>
                <w:b/>
                <w:sz w:val="20"/>
                <w:szCs w:val="20"/>
              </w:rPr>
            </w:pPr>
            <w:r w:rsidRPr="005113BC">
              <w:rPr>
                <w:rStyle w:val="st"/>
                <w:b/>
                <w:bCs/>
                <w:sz w:val="20"/>
                <w:szCs w:val="20"/>
              </w:rPr>
              <w:t>Mikrobiotops</w:t>
            </w:r>
            <w:r w:rsidRPr="005113BC">
              <w:rPr>
                <w:rStyle w:val="st"/>
                <w:sz w:val="20"/>
                <w:szCs w:val="20"/>
              </w:rPr>
              <w:t xml:space="preserve">. </w:t>
            </w:r>
            <w:r w:rsidRPr="005113BC">
              <w:rPr>
                <w:sz w:val="20"/>
                <w:szCs w:val="20"/>
              </w:rPr>
              <w:t>Tauriņi biotopā izvēlas saulainas, vēja aizsargātas vietas ar ziedošiem augiem.</w:t>
            </w:r>
          </w:p>
        </w:tc>
      </w:tr>
      <w:tr w:rsidR="00993FBC" w:rsidRPr="005113BC" w14:paraId="36D55740" w14:textId="77777777" w:rsidTr="00993FBC">
        <w:tc>
          <w:tcPr>
            <w:tcW w:w="2155" w:type="dxa"/>
          </w:tcPr>
          <w:p w14:paraId="5CA5D794" w14:textId="77777777" w:rsidR="00993FBC" w:rsidRPr="005113BC" w:rsidRDefault="00993FBC" w:rsidP="001A669E">
            <w:pPr>
              <w:rPr>
                <w:sz w:val="20"/>
                <w:szCs w:val="20"/>
              </w:rPr>
            </w:pPr>
            <w:r w:rsidRPr="005113BC">
              <w:rPr>
                <w:sz w:val="20"/>
                <w:szCs w:val="20"/>
              </w:rPr>
              <w:lastRenderedPageBreak/>
              <w:t xml:space="preserve">Brūnvālīšu zilenītis </w:t>
            </w:r>
            <w:r w:rsidRPr="005113BC">
              <w:rPr>
                <w:i/>
                <w:sz w:val="20"/>
                <w:szCs w:val="20"/>
              </w:rPr>
              <w:t>Maculinea teleius</w:t>
            </w:r>
          </w:p>
        </w:tc>
        <w:tc>
          <w:tcPr>
            <w:tcW w:w="7088" w:type="dxa"/>
          </w:tcPr>
          <w:p w14:paraId="614C2C6B" w14:textId="0BC12D52" w:rsidR="00993FBC" w:rsidRPr="005113BC" w:rsidRDefault="00993FBC" w:rsidP="001A669E">
            <w:pPr>
              <w:jc w:val="both"/>
              <w:rPr>
                <w:sz w:val="20"/>
                <w:szCs w:val="20"/>
              </w:rPr>
            </w:pPr>
            <w:r w:rsidRPr="005113BC">
              <w:rPr>
                <w:b/>
                <w:sz w:val="20"/>
                <w:szCs w:val="20"/>
              </w:rPr>
              <w:t>Biotops.</w:t>
            </w:r>
            <w:r w:rsidRPr="005113BC">
              <w:rPr>
                <w:sz w:val="20"/>
                <w:szCs w:val="20"/>
              </w:rPr>
              <w:t xml:space="preserve"> Suga ir sastopama mitrās pļavās un zemajos purvos, kur ir atrodams tās kāpuru barības augs – dziedniecības brūnvālīte </w:t>
            </w:r>
            <w:r w:rsidRPr="005113BC">
              <w:rPr>
                <w:i/>
                <w:sz w:val="20"/>
                <w:szCs w:val="20"/>
              </w:rPr>
              <w:t>Sanguisorba officinalis</w:t>
            </w:r>
            <w:r w:rsidRPr="005113BC">
              <w:rPr>
                <w:sz w:val="20"/>
                <w:szCs w:val="20"/>
              </w:rPr>
              <w:t xml:space="preserve">, kā arī </w:t>
            </w:r>
            <w:r w:rsidRPr="005113BC">
              <w:rPr>
                <w:i/>
                <w:sz w:val="20"/>
                <w:szCs w:val="20"/>
              </w:rPr>
              <w:t>Myrmica</w:t>
            </w:r>
            <w:r w:rsidRPr="005113BC">
              <w:rPr>
                <w:sz w:val="20"/>
                <w:szCs w:val="20"/>
              </w:rPr>
              <w:t xml:space="preserve"> ģints skudras, kuru ligzdās kāpuri pavada</w:t>
            </w:r>
            <w:r w:rsidR="00AC6EA8" w:rsidRPr="005113BC">
              <w:rPr>
                <w:sz w:val="20"/>
                <w:szCs w:val="20"/>
              </w:rPr>
              <w:t xml:space="preserve"> daļu no sava attīstības laika </w:t>
            </w:r>
            <w:r w:rsidR="00AC6EA8" w:rsidRPr="005113BC">
              <w:rPr>
                <w:bCs/>
                <w:color w:val="394044"/>
                <w:sz w:val="20"/>
                <w:szCs w:val="20"/>
              </w:rPr>
              <w:t>(</w:t>
            </w:r>
            <w:r w:rsidR="00AC6EA8" w:rsidRPr="005113BC">
              <w:rPr>
                <w:sz w:val="20"/>
                <w:szCs w:val="20"/>
              </w:rPr>
              <w:t>Wiemers et al. 2012, Savenkovs 2017).</w:t>
            </w:r>
          </w:p>
          <w:p w14:paraId="4250F50A" w14:textId="77777777" w:rsidR="00993FBC" w:rsidRPr="005113BC" w:rsidRDefault="00993FBC" w:rsidP="001A669E">
            <w:pPr>
              <w:jc w:val="both"/>
              <w:rPr>
                <w:b/>
                <w:sz w:val="20"/>
                <w:szCs w:val="20"/>
              </w:rPr>
            </w:pPr>
            <w:r w:rsidRPr="005113BC">
              <w:rPr>
                <w:rStyle w:val="st"/>
                <w:b/>
                <w:bCs/>
                <w:sz w:val="20"/>
                <w:szCs w:val="20"/>
              </w:rPr>
              <w:t>Mikrobiotops</w:t>
            </w:r>
            <w:r w:rsidRPr="005113BC">
              <w:rPr>
                <w:rStyle w:val="st"/>
                <w:sz w:val="20"/>
                <w:szCs w:val="20"/>
              </w:rPr>
              <w:t xml:space="preserve">. </w:t>
            </w:r>
            <w:r w:rsidRPr="005113BC">
              <w:rPr>
                <w:sz w:val="20"/>
                <w:szCs w:val="20"/>
              </w:rPr>
              <w:t>Tauriņi biotopā izvēlas saulainas, vēja aizsargātas vietas ar ziedošiem augiem, visbiežāk tie izvēlas baroties tieši uz brūnvālītēm.</w:t>
            </w:r>
          </w:p>
        </w:tc>
      </w:tr>
    </w:tbl>
    <w:p w14:paraId="399107B9" w14:textId="77777777" w:rsidR="00544BD2" w:rsidRPr="005113BC" w:rsidRDefault="00544BD2" w:rsidP="00433C04">
      <w:pPr>
        <w:jc w:val="both"/>
        <w:rPr>
          <w:b/>
        </w:rPr>
      </w:pPr>
    </w:p>
    <w:p w14:paraId="5701C118" w14:textId="70281DBD" w:rsidR="004B3944" w:rsidRPr="00F846A9" w:rsidRDefault="00F846A9" w:rsidP="00F846A9">
      <w:pPr>
        <w:jc w:val="both"/>
        <w:rPr>
          <w:color w:val="0070C0"/>
        </w:rPr>
      </w:pPr>
      <w:r>
        <w:rPr>
          <w:b/>
          <w:color w:val="0070C0"/>
        </w:rPr>
        <w:t xml:space="preserve">4. </w:t>
      </w:r>
      <w:r w:rsidR="004B3944" w:rsidRPr="00F846A9">
        <w:rPr>
          <w:b/>
          <w:color w:val="0070C0"/>
        </w:rPr>
        <w:t>Monitoringa veikšanai nepieciešamais inventārs</w:t>
      </w:r>
    </w:p>
    <w:p w14:paraId="6A771820" w14:textId="045A86D0" w:rsidR="00324EF1" w:rsidRPr="005113BC" w:rsidRDefault="00324EF1" w:rsidP="004B3944">
      <w:pPr>
        <w:jc w:val="both"/>
        <w:rPr>
          <w:b/>
        </w:rPr>
      </w:pPr>
    </w:p>
    <w:p w14:paraId="0B71D034" w14:textId="0CF45226" w:rsidR="004B3944" w:rsidRPr="005113BC" w:rsidRDefault="004B3944" w:rsidP="004B3944">
      <w:pPr>
        <w:jc w:val="both"/>
      </w:pPr>
      <w:r w:rsidRPr="005113BC">
        <w:t>Gatavojoties dienastauriņu uzskaitēm</w:t>
      </w:r>
      <w:r w:rsidR="005144B3">
        <w:t>,</w:t>
      </w:r>
      <w:r w:rsidRPr="005113BC">
        <w:t xml:space="preserve"> ekspertam jābūt pieejamām iepriekšējo uzskaites periodu anketām. Lauka darbu īstenošanai nepieciešamais aprīkojums:</w:t>
      </w:r>
    </w:p>
    <w:p w14:paraId="5D916810" w14:textId="77777777" w:rsidR="004B3944" w:rsidRPr="005113BC" w:rsidRDefault="004B3944" w:rsidP="004B3944">
      <w:pPr>
        <w:pStyle w:val="ListParagraph"/>
        <w:numPr>
          <w:ilvl w:val="0"/>
          <w:numId w:val="11"/>
        </w:numPr>
        <w:jc w:val="both"/>
      </w:pPr>
      <w:r w:rsidRPr="005113BC">
        <w:t xml:space="preserve">lauka uzskaišu anketas; </w:t>
      </w:r>
    </w:p>
    <w:p w14:paraId="2E5209AD" w14:textId="77777777" w:rsidR="004B3944" w:rsidRPr="005113BC" w:rsidRDefault="004B3944" w:rsidP="004B3944">
      <w:pPr>
        <w:pStyle w:val="ListParagraph"/>
        <w:numPr>
          <w:ilvl w:val="0"/>
          <w:numId w:val="11"/>
        </w:numPr>
        <w:jc w:val="both"/>
      </w:pPr>
      <w:r w:rsidRPr="005113BC">
        <w:t xml:space="preserve">papildus piezīmju papīrs; </w:t>
      </w:r>
    </w:p>
    <w:p w14:paraId="1C49FFDA" w14:textId="77777777" w:rsidR="004B3944" w:rsidRPr="005113BC" w:rsidRDefault="004B3944" w:rsidP="004B3944">
      <w:pPr>
        <w:pStyle w:val="ListParagraph"/>
        <w:numPr>
          <w:ilvl w:val="0"/>
          <w:numId w:val="11"/>
        </w:numPr>
        <w:jc w:val="both"/>
      </w:pPr>
      <w:r w:rsidRPr="005113BC">
        <w:t>rakstāmpiederumi;</w:t>
      </w:r>
    </w:p>
    <w:p w14:paraId="5DE9050B" w14:textId="77777777" w:rsidR="004B3944" w:rsidRPr="005113BC" w:rsidRDefault="004B3944" w:rsidP="004B3944">
      <w:pPr>
        <w:pStyle w:val="ListParagraph"/>
        <w:numPr>
          <w:ilvl w:val="0"/>
          <w:numId w:val="11"/>
        </w:numPr>
        <w:jc w:val="both"/>
      </w:pPr>
      <w:r w:rsidRPr="005113BC">
        <w:t xml:space="preserve">dokumentu mape-paliktnis; </w:t>
      </w:r>
    </w:p>
    <w:p w14:paraId="4F734F56" w14:textId="5C0AC902" w:rsidR="004B3944" w:rsidRPr="005113BC" w:rsidRDefault="004B3944" w:rsidP="004B3944">
      <w:pPr>
        <w:pStyle w:val="ListParagraph"/>
        <w:numPr>
          <w:ilvl w:val="0"/>
          <w:numId w:val="11"/>
        </w:numPr>
        <w:jc w:val="both"/>
      </w:pPr>
      <w:r w:rsidRPr="005113BC">
        <w:t xml:space="preserve">ūdensizturīga mape uzskaišu anketu glabāšanai; </w:t>
      </w:r>
    </w:p>
    <w:p w14:paraId="3A36BD16" w14:textId="10B239B5" w:rsidR="004B3944" w:rsidRPr="005113BC" w:rsidRDefault="004B3944" w:rsidP="004B3944">
      <w:pPr>
        <w:pStyle w:val="ListParagraph"/>
        <w:numPr>
          <w:ilvl w:val="0"/>
          <w:numId w:val="11"/>
        </w:numPr>
        <w:jc w:val="both"/>
      </w:pPr>
      <w:r w:rsidRPr="005113BC">
        <w:t>GPS uztvērējs ar Collector aplikāciju un autorizēto eksperta pieeju (</w:t>
      </w:r>
      <w:r w:rsidR="002229E0" w:rsidRPr="005113BC">
        <w:t>j</w:t>
      </w:r>
      <w:r w:rsidRPr="005113BC">
        <w:t>a nav iespējas lietot GPS uztvērēju, jānodrošin</w:t>
      </w:r>
      <w:r w:rsidR="002229E0" w:rsidRPr="005113BC">
        <w:t>a kartes, kompass, pulkstenis);</w:t>
      </w:r>
    </w:p>
    <w:p w14:paraId="6100BBB9" w14:textId="6505D911" w:rsidR="004B3944" w:rsidRPr="005113BC" w:rsidRDefault="004B3944" w:rsidP="004B3944">
      <w:pPr>
        <w:pStyle w:val="ListParagraph"/>
        <w:numPr>
          <w:ilvl w:val="0"/>
          <w:numId w:val="11"/>
        </w:numPr>
        <w:jc w:val="both"/>
      </w:pPr>
      <w:r w:rsidRPr="005113BC">
        <w:t>fotoaparāts;</w:t>
      </w:r>
    </w:p>
    <w:p w14:paraId="37C8F0D1" w14:textId="2C654FC5" w:rsidR="00A817A9" w:rsidRPr="005113BC" w:rsidRDefault="00A817A9" w:rsidP="004B3944">
      <w:pPr>
        <w:pStyle w:val="ListParagraph"/>
        <w:numPr>
          <w:ilvl w:val="0"/>
          <w:numId w:val="11"/>
        </w:numPr>
        <w:jc w:val="both"/>
      </w:pPr>
      <w:r w:rsidRPr="005113BC">
        <w:t>cepure ar nagu;</w:t>
      </w:r>
    </w:p>
    <w:p w14:paraId="0952CA35" w14:textId="77777777" w:rsidR="004B3944" w:rsidRPr="005113BC" w:rsidRDefault="004B3944" w:rsidP="004B3944">
      <w:pPr>
        <w:pStyle w:val="ListParagraph"/>
        <w:numPr>
          <w:ilvl w:val="0"/>
          <w:numId w:val="11"/>
        </w:numPr>
        <w:jc w:val="both"/>
      </w:pPr>
      <w:r w:rsidRPr="005113BC">
        <w:t>entomoloģiskais tīkliņš ar 0,8-1,0 m garu kātu un 0,5-0,7 m diametrā lielu tīklu (drošai īpatņu identificēšanai);</w:t>
      </w:r>
    </w:p>
    <w:p w14:paraId="4824163D" w14:textId="77777777" w:rsidR="004B3944" w:rsidRPr="005113BC" w:rsidRDefault="004B3944" w:rsidP="004B3944">
      <w:pPr>
        <w:pStyle w:val="ListParagraph"/>
        <w:numPr>
          <w:ilvl w:val="0"/>
          <w:numId w:val="11"/>
        </w:numPr>
        <w:jc w:val="both"/>
      </w:pPr>
      <w:r w:rsidRPr="005113BC">
        <w:t>lauka noteicējs, kurā ir attēlotas mērķsugas un tām līdzīgās sugas ar īpaši norādītām sugas diferencējošām pazīmēm;</w:t>
      </w:r>
    </w:p>
    <w:p w14:paraId="5EF94F39" w14:textId="77777777" w:rsidR="004B3944" w:rsidRPr="005113BC" w:rsidRDefault="004B3944" w:rsidP="004B3944">
      <w:pPr>
        <w:pStyle w:val="ListParagraph"/>
        <w:numPr>
          <w:ilvl w:val="0"/>
          <w:numId w:val="11"/>
        </w:numPr>
        <w:jc w:val="both"/>
      </w:pPr>
      <w:r w:rsidRPr="005113BC">
        <w:t>dators, diktofons vai planšetdators nepieciešamības gadījumā.</w:t>
      </w:r>
    </w:p>
    <w:p w14:paraId="1EB0AEC7" w14:textId="77777777" w:rsidR="002229E0" w:rsidRPr="005113BC" w:rsidRDefault="002229E0" w:rsidP="002229E0">
      <w:pPr>
        <w:jc w:val="both"/>
      </w:pPr>
    </w:p>
    <w:p w14:paraId="6181982E" w14:textId="0ECBBC65" w:rsidR="004B3944" w:rsidRPr="005113BC" w:rsidRDefault="002229E0" w:rsidP="002229E0">
      <w:pPr>
        <w:jc w:val="both"/>
      </w:pPr>
      <w:r w:rsidRPr="005113BC">
        <w:t>K</w:t>
      </w:r>
      <w:r w:rsidR="004B3944" w:rsidRPr="005113BC">
        <w:t xml:space="preserve">amerālo </w:t>
      </w:r>
      <w:r w:rsidRPr="005113BC">
        <w:t xml:space="preserve">darbu veikšanai ir nepieciešams </w:t>
      </w:r>
      <w:r w:rsidR="004B3944" w:rsidRPr="005113BC">
        <w:t>dators ar atbilstošu programmatūru ievākto datu digitalizēšanai un apstrādei.</w:t>
      </w:r>
    </w:p>
    <w:p w14:paraId="75E57164" w14:textId="77777777" w:rsidR="00324EF1" w:rsidRPr="005113BC" w:rsidRDefault="00324EF1" w:rsidP="001E0C21">
      <w:pPr>
        <w:jc w:val="both"/>
        <w:rPr>
          <w:b/>
        </w:rPr>
      </w:pPr>
    </w:p>
    <w:p w14:paraId="7E3C0D80" w14:textId="499ACAEB" w:rsidR="00324EF1" w:rsidRPr="00F846A9" w:rsidRDefault="00F846A9" w:rsidP="00F846A9">
      <w:pPr>
        <w:jc w:val="both"/>
        <w:rPr>
          <w:b/>
          <w:color w:val="0070C0"/>
        </w:rPr>
      </w:pPr>
      <w:r>
        <w:rPr>
          <w:b/>
          <w:color w:val="0070C0"/>
        </w:rPr>
        <w:t xml:space="preserve">5. </w:t>
      </w:r>
      <w:r w:rsidR="00324EF1" w:rsidRPr="00F846A9">
        <w:rPr>
          <w:b/>
          <w:color w:val="0070C0"/>
        </w:rPr>
        <w:t>Monitoringa uzskaišu kalendārais plānojums</w:t>
      </w:r>
    </w:p>
    <w:p w14:paraId="60DED139" w14:textId="7EC7CDEE" w:rsidR="00324EF1" w:rsidRPr="005113BC" w:rsidRDefault="00324EF1" w:rsidP="004145C8">
      <w:pPr>
        <w:jc w:val="both"/>
        <w:rPr>
          <w:b/>
        </w:rPr>
      </w:pPr>
    </w:p>
    <w:p w14:paraId="416699DC" w14:textId="0EFECFC8" w:rsidR="00EE3CEB" w:rsidRPr="005113BC" w:rsidRDefault="004145C8" w:rsidP="00EE3CEB">
      <w:pPr>
        <w:jc w:val="both"/>
      </w:pPr>
      <w:r w:rsidRPr="005113BC">
        <w:t xml:space="preserve">Ņemot vērā dienas tauriņiem </w:t>
      </w:r>
      <w:r w:rsidR="005144B3" w:rsidRPr="005113BC">
        <w:t>raksturīg</w:t>
      </w:r>
      <w:r w:rsidR="005144B3">
        <w:t>ā</w:t>
      </w:r>
      <w:r w:rsidR="005144B3" w:rsidRPr="005113BC">
        <w:t>s strauj</w:t>
      </w:r>
      <w:r w:rsidR="005144B3">
        <w:t>ā</w:t>
      </w:r>
      <w:r w:rsidR="005144B3" w:rsidRPr="005113BC">
        <w:t xml:space="preserve">s </w:t>
      </w:r>
      <w:r w:rsidRPr="005113BC">
        <w:t xml:space="preserve">skaita izmaiņas pa gadiem, lai iegūtu iespējami precīzāku informāciju par sugas populācijas stāvokli teritorijā, uzskaites veicamas divas reizes (gadus) sešu gadu periodā katrā Natura 2000 teritorijā, kur pastāv vai ir pastāvējusi attiecīgās sugas populācija. Brūnvālīšu zilenīti </w:t>
      </w:r>
      <w:r w:rsidRPr="005113BC">
        <w:rPr>
          <w:i/>
          <w:iCs/>
        </w:rPr>
        <w:t>Maculinea teleius</w:t>
      </w:r>
      <w:r w:rsidRPr="005113BC">
        <w:t xml:space="preserve"> jāmonitorē reizi gadā, jo Latvijā zināmas tikai divas atradnes (viena ārpus Natura 2000 teritorijas) un suga var būt apdraudēta pārganīšanas dēļ.</w:t>
      </w:r>
      <w:r w:rsidR="00EE3CEB" w:rsidRPr="005113BC">
        <w:t xml:space="preserve"> </w:t>
      </w:r>
      <w:r w:rsidR="00A01522" w:rsidRPr="005113BC">
        <w:t>Dienastauriņu uzskaitei optimālākie</w:t>
      </w:r>
      <w:r w:rsidRPr="005113BC">
        <w:t xml:space="preserve"> </w:t>
      </w:r>
      <w:r w:rsidR="00EE3CEB" w:rsidRPr="005113BC">
        <w:t xml:space="preserve">laika periodi </w:t>
      </w:r>
      <w:r w:rsidR="00F83E47">
        <w:t>norādīti</w:t>
      </w:r>
      <w:r w:rsidR="001E0C21" w:rsidRPr="005113BC">
        <w:t xml:space="preserve"> </w:t>
      </w:r>
      <w:r w:rsidR="00EF3879" w:rsidRPr="005113BC">
        <w:t>4</w:t>
      </w:r>
      <w:r w:rsidR="001E0C21" w:rsidRPr="005113BC">
        <w:t xml:space="preserve">. </w:t>
      </w:r>
      <w:r w:rsidR="00EE3CEB" w:rsidRPr="005113BC">
        <w:t>tabulā</w:t>
      </w:r>
      <w:r w:rsidR="00A01522" w:rsidRPr="005113BC">
        <w:t>.</w:t>
      </w:r>
    </w:p>
    <w:p w14:paraId="4E74B940" w14:textId="6EF3BCDD" w:rsidR="00EE3CEB" w:rsidRPr="005113BC" w:rsidRDefault="00EE3CEB" w:rsidP="00EE3CEB">
      <w:pPr>
        <w:jc w:val="both"/>
      </w:pPr>
    </w:p>
    <w:p w14:paraId="475682A9" w14:textId="5F27E5C3" w:rsidR="00EE3CEB" w:rsidRPr="005113BC" w:rsidRDefault="001E0C21" w:rsidP="00EE3CEB">
      <w:pPr>
        <w:jc w:val="both"/>
        <w:rPr>
          <w:sz w:val="20"/>
          <w:szCs w:val="20"/>
        </w:rPr>
      </w:pPr>
      <w:r w:rsidRPr="005113BC">
        <w:rPr>
          <w:b/>
          <w:sz w:val="20"/>
          <w:szCs w:val="20"/>
        </w:rPr>
        <w:t>4</w:t>
      </w:r>
      <w:r w:rsidR="00EE3CEB" w:rsidRPr="005113BC">
        <w:rPr>
          <w:b/>
          <w:sz w:val="20"/>
          <w:szCs w:val="20"/>
        </w:rPr>
        <w:t xml:space="preserve">. tabula. Dienastauriņu sugu monitorēšanai piemērotie laika periodi. </w:t>
      </w:r>
      <w:r w:rsidR="00EE3CEB" w:rsidRPr="005113BC">
        <w:rPr>
          <w:sz w:val="20"/>
          <w:szCs w:val="20"/>
        </w:rPr>
        <w:t xml:space="preserve">Paskaidrojumi: pelēkā krāsā iekrāsots laika periods, kad drīkst veikt attiecīgās sugas uzskaiti, sarkanā krāsā iekrāsots optimālais laika periods, kad ir ieteicams </w:t>
      </w:r>
      <w:r w:rsidR="00C36DEF" w:rsidRPr="005113BC">
        <w:rPr>
          <w:sz w:val="20"/>
          <w:szCs w:val="20"/>
        </w:rPr>
        <w:t>veikt attiecīgās sugas uzskaiti</w:t>
      </w:r>
      <w:r w:rsidR="00A01522" w:rsidRPr="005113BC">
        <w:rPr>
          <w:sz w:val="20"/>
          <w:szCs w:val="20"/>
        </w:rPr>
        <w:t>.</w:t>
      </w:r>
    </w:p>
    <w:tbl>
      <w:tblPr>
        <w:tblW w:w="896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69"/>
        <w:gridCol w:w="555"/>
        <w:gridCol w:w="555"/>
        <w:gridCol w:w="555"/>
        <w:gridCol w:w="555"/>
        <w:gridCol w:w="555"/>
        <w:gridCol w:w="555"/>
        <w:gridCol w:w="555"/>
        <w:gridCol w:w="555"/>
        <w:gridCol w:w="555"/>
      </w:tblGrid>
      <w:tr w:rsidR="00E1794D" w:rsidRPr="005113BC" w14:paraId="25233BFE" w14:textId="77777777" w:rsidTr="00E1794D">
        <w:trPr>
          <w:cantSplit/>
          <w:trHeight w:val="1236"/>
        </w:trPr>
        <w:tc>
          <w:tcPr>
            <w:tcW w:w="3969" w:type="dxa"/>
            <w:tcBorders>
              <w:top w:val="single" w:sz="6" w:space="0" w:color="auto"/>
              <w:bottom w:val="single" w:sz="12" w:space="0" w:color="auto"/>
            </w:tcBorders>
            <w:shd w:val="clear" w:color="auto" w:fill="00FF00"/>
            <w:vAlign w:val="center"/>
          </w:tcPr>
          <w:p w14:paraId="05E55005" w14:textId="331C8C86" w:rsidR="00E1794D" w:rsidRPr="005113BC" w:rsidRDefault="00E1794D" w:rsidP="00E1794D">
            <w:pPr>
              <w:jc w:val="center"/>
              <w:rPr>
                <w:sz w:val="20"/>
                <w:szCs w:val="20"/>
              </w:rPr>
            </w:pPr>
            <w:r w:rsidRPr="005113BC">
              <w:rPr>
                <w:b/>
                <w:sz w:val="20"/>
                <w:szCs w:val="20"/>
              </w:rPr>
              <w:t>Suga</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493B8F21" w14:textId="2CF522A5" w:rsidR="00E1794D" w:rsidRPr="005113BC" w:rsidRDefault="00E1794D" w:rsidP="00E1794D">
            <w:pPr>
              <w:jc w:val="center"/>
            </w:pPr>
            <w:r w:rsidRPr="005113BC">
              <w:t>11.-20.05.</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0CEED17D" w14:textId="533EE157" w:rsidR="00E1794D" w:rsidRPr="005113BC" w:rsidRDefault="00E1794D" w:rsidP="00E1794D">
            <w:pPr>
              <w:jc w:val="center"/>
            </w:pPr>
            <w:r w:rsidRPr="005113BC">
              <w:t>11.-20.05.</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40E75C7C" w14:textId="2E57B8CC" w:rsidR="00E1794D" w:rsidRPr="005113BC" w:rsidRDefault="00E1794D" w:rsidP="00E1794D">
            <w:pPr>
              <w:jc w:val="center"/>
            </w:pPr>
            <w:r w:rsidRPr="005113BC">
              <w:t>21.-31.05.</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06D3E41B" w14:textId="76593D0D" w:rsidR="00E1794D" w:rsidRPr="005113BC" w:rsidRDefault="00E1794D" w:rsidP="00E1794D">
            <w:pPr>
              <w:jc w:val="center"/>
            </w:pPr>
            <w:r w:rsidRPr="005113BC">
              <w:t>01.-10.06.</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09E2983C" w14:textId="58881ED9" w:rsidR="00E1794D" w:rsidRPr="005113BC" w:rsidRDefault="00E1794D" w:rsidP="00E1794D">
            <w:pPr>
              <w:jc w:val="center"/>
            </w:pPr>
            <w:r w:rsidRPr="005113BC">
              <w:t>11.-20.06.</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54F6E0A8" w14:textId="79143FDF" w:rsidR="00E1794D" w:rsidRPr="005113BC" w:rsidRDefault="00E1794D" w:rsidP="00E1794D">
            <w:pPr>
              <w:jc w:val="center"/>
            </w:pPr>
            <w:r w:rsidRPr="005113BC">
              <w:t>21.-30.06.</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1E1562FA" w14:textId="18E35470" w:rsidR="00E1794D" w:rsidRPr="005113BC" w:rsidRDefault="00E1794D" w:rsidP="00E1794D">
            <w:pPr>
              <w:jc w:val="center"/>
            </w:pPr>
            <w:r w:rsidRPr="005113BC">
              <w:t>01.-10.07.</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3582D169" w14:textId="642AFB11" w:rsidR="00E1794D" w:rsidRPr="005113BC" w:rsidRDefault="00E1794D" w:rsidP="00E1794D">
            <w:pPr>
              <w:jc w:val="center"/>
            </w:pPr>
            <w:r w:rsidRPr="005113BC">
              <w:t>11.-20.07.</w:t>
            </w:r>
          </w:p>
        </w:tc>
        <w:tc>
          <w:tcPr>
            <w:tcW w:w="555" w:type="dxa"/>
            <w:tcBorders>
              <w:top w:val="single" w:sz="6" w:space="0" w:color="auto"/>
              <w:bottom w:val="single" w:sz="12" w:space="0" w:color="auto"/>
            </w:tcBorders>
            <w:shd w:val="clear" w:color="auto" w:fill="00FF00"/>
            <w:tcMar>
              <w:left w:w="28" w:type="dxa"/>
              <w:right w:w="28" w:type="dxa"/>
            </w:tcMar>
            <w:textDirection w:val="btLr"/>
            <w:vAlign w:val="center"/>
          </w:tcPr>
          <w:p w14:paraId="76A872A5" w14:textId="5FEEA5B9" w:rsidR="00E1794D" w:rsidRPr="005113BC" w:rsidRDefault="00E1794D" w:rsidP="00E1794D">
            <w:pPr>
              <w:jc w:val="center"/>
            </w:pPr>
            <w:r w:rsidRPr="005113BC">
              <w:t>21.-31.07.</w:t>
            </w:r>
          </w:p>
        </w:tc>
      </w:tr>
      <w:tr w:rsidR="00E1794D" w:rsidRPr="005113BC" w14:paraId="76FFF062" w14:textId="77777777" w:rsidTr="00E1794D">
        <w:tc>
          <w:tcPr>
            <w:tcW w:w="3969" w:type="dxa"/>
          </w:tcPr>
          <w:p w14:paraId="4E8C6BCB" w14:textId="4261212D" w:rsidR="00E1794D" w:rsidRPr="005113BC" w:rsidRDefault="00E1794D" w:rsidP="00E1794D">
            <w:pPr>
              <w:jc w:val="both"/>
              <w:rPr>
                <w:sz w:val="20"/>
                <w:szCs w:val="20"/>
              </w:rPr>
            </w:pPr>
            <w:r w:rsidRPr="005113BC">
              <w:rPr>
                <w:sz w:val="20"/>
                <w:szCs w:val="20"/>
              </w:rPr>
              <w:t xml:space="preserve">Skabiozu pļavraibenis </w:t>
            </w:r>
            <w:r w:rsidRPr="005113BC">
              <w:rPr>
                <w:i/>
                <w:sz w:val="20"/>
                <w:szCs w:val="20"/>
              </w:rPr>
              <w:t>Euphydryas aurinia</w:t>
            </w:r>
          </w:p>
        </w:tc>
        <w:tc>
          <w:tcPr>
            <w:tcW w:w="555" w:type="dxa"/>
            <w:tcMar>
              <w:left w:w="28" w:type="dxa"/>
              <w:right w:w="28" w:type="dxa"/>
            </w:tcMar>
          </w:tcPr>
          <w:p w14:paraId="7C1016F2" w14:textId="77777777" w:rsidR="00E1794D" w:rsidRPr="005113BC" w:rsidRDefault="00E1794D" w:rsidP="00E1794D">
            <w:pPr>
              <w:jc w:val="center"/>
              <w:rPr>
                <w:sz w:val="20"/>
                <w:szCs w:val="20"/>
              </w:rPr>
            </w:pPr>
          </w:p>
        </w:tc>
        <w:tc>
          <w:tcPr>
            <w:tcW w:w="555" w:type="dxa"/>
            <w:tcMar>
              <w:left w:w="28" w:type="dxa"/>
              <w:right w:w="28" w:type="dxa"/>
            </w:tcMar>
          </w:tcPr>
          <w:p w14:paraId="104D37B4"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7D5EBC8B" w14:textId="77777777" w:rsidR="00E1794D" w:rsidRPr="005113BC" w:rsidRDefault="00E1794D" w:rsidP="00E1794D">
            <w:pPr>
              <w:jc w:val="center"/>
              <w:rPr>
                <w:sz w:val="20"/>
                <w:szCs w:val="20"/>
              </w:rPr>
            </w:pPr>
          </w:p>
        </w:tc>
        <w:tc>
          <w:tcPr>
            <w:tcW w:w="555" w:type="dxa"/>
            <w:shd w:val="clear" w:color="auto" w:fill="FF0000"/>
            <w:tcMar>
              <w:left w:w="28" w:type="dxa"/>
              <w:right w:w="28" w:type="dxa"/>
            </w:tcMar>
          </w:tcPr>
          <w:p w14:paraId="36741DA1"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1FA16A27" w14:textId="6954F235"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0E722AA5"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4CDAB290" w14:textId="7ADCC786" w:rsidR="00E1794D" w:rsidRPr="005113BC" w:rsidRDefault="00E1794D" w:rsidP="00E1794D">
            <w:pPr>
              <w:jc w:val="center"/>
              <w:rPr>
                <w:sz w:val="20"/>
                <w:szCs w:val="20"/>
              </w:rPr>
            </w:pPr>
          </w:p>
        </w:tc>
        <w:tc>
          <w:tcPr>
            <w:tcW w:w="555" w:type="dxa"/>
            <w:shd w:val="clear" w:color="auto" w:fill="FFFFFF" w:themeFill="background1"/>
            <w:tcMar>
              <w:left w:w="28" w:type="dxa"/>
              <w:right w:w="28" w:type="dxa"/>
            </w:tcMar>
          </w:tcPr>
          <w:p w14:paraId="7D01281C" w14:textId="77777777" w:rsidR="00E1794D" w:rsidRPr="005113BC" w:rsidRDefault="00E1794D" w:rsidP="00E1794D">
            <w:pPr>
              <w:jc w:val="center"/>
              <w:rPr>
                <w:sz w:val="20"/>
                <w:szCs w:val="20"/>
              </w:rPr>
            </w:pPr>
          </w:p>
        </w:tc>
        <w:tc>
          <w:tcPr>
            <w:tcW w:w="555" w:type="dxa"/>
            <w:tcMar>
              <w:left w:w="28" w:type="dxa"/>
              <w:right w:w="28" w:type="dxa"/>
            </w:tcMar>
          </w:tcPr>
          <w:p w14:paraId="306CA64B" w14:textId="77777777" w:rsidR="00E1794D" w:rsidRPr="005113BC" w:rsidRDefault="00E1794D" w:rsidP="00E1794D">
            <w:pPr>
              <w:jc w:val="center"/>
              <w:rPr>
                <w:sz w:val="20"/>
                <w:szCs w:val="20"/>
              </w:rPr>
            </w:pPr>
          </w:p>
        </w:tc>
      </w:tr>
      <w:tr w:rsidR="00E1794D" w:rsidRPr="005113BC" w14:paraId="3669C5CF" w14:textId="77777777" w:rsidTr="00E1794D">
        <w:tc>
          <w:tcPr>
            <w:tcW w:w="3969" w:type="dxa"/>
          </w:tcPr>
          <w:p w14:paraId="006C5536" w14:textId="5BB7B6F8" w:rsidR="00E1794D" w:rsidRPr="005113BC" w:rsidRDefault="00E1794D" w:rsidP="00E1794D">
            <w:pPr>
              <w:jc w:val="both"/>
              <w:rPr>
                <w:sz w:val="20"/>
                <w:szCs w:val="20"/>
              </w:rPr>
            </w:pPr>
            <w:r w:rsidRPr="005113BC">
              <w:rPr>
                <w:sz w:val="20"/>
                <w:szCs w:val="20"/>
              </w:rPr>
              <w:t xml:space="preserve">Ošu pļavraibenis </w:t>
            </w:r>
            <w:r w:rsidRPr="005113BC">
              <w:rPr>
                <w:i/>
                <w:sz w:val="20"/>
                <w:szCs w:val="20"/>
              </w:rPr>
              <w:t>Hypodryas maturna</w:t>
            </w:r>
          </w:p>
        </w:tc>
        <w:tc>
          <w:tcPr>
            <w:tcW w:w="555" w:type="dxa"/>
            <w:tcMar>
              <w:left w:w="28" w:type="dxa"/>
              <w:right w:w="28" w:type="dxa"/>
            </w:tcMar>
          </w:tcPr>
          <w:p w14:paraId="570DAFEA" w14:textId="77777777" w:rsidR="00E1794D" w:rsidRPr="005113BC" w:rsidRDefault="00E1794D" w:rsidP="00E1794D">
            <w:pPr>
              <w:jc w:val="center"/>
              <w:rPr>
                <w:sz w:val="20"/>
                <w:szCs w:val="20"/>
              </w:rPr>
            </w:pPr>
          </w:p>
        </w:tc>
        <w:tc>
          <w:tcPr>
            <w:tcW w:w="555" w:type="dxa"/>
            <w:tcMar>
              <w:left w:w="28" w:type="dxa"/>
              <w:right w:w="28" w:type="dxa"/>
            </w:tcMar>
          </w:tcPr>
          <w:p w14:paraId="43227FCC"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1D8D879C" w14:textId="77777777" w:rsidR="00E1794D" w:rsidRPr="005113BC" w:rsidRDefault="00E1794D" w:rsidP="00E1794D">
            <w:pPr>
              <w:jc w:val="center"/>
              <w:rPr>
                <w:sz w:val="20"/>
                <w:szCs w:val="20"/>
              </w:rPr>
            </w:pPr>
          </w:p>
        </w:tc>
        <w:tc>
          <w:tcPr>
            <w:tcW w:w="555" w:type="dxa"/>
            <w:shd w:val="clear" w:color="auto" w:fill="FF0000"/>
            <w:tcMar>
              <w:left w:w="28" w:type="dxa"/>
              <w:right w:w="28" w:type="dxa"/>
            </w:tcMar>
          </w:tcPr>
          <w:p w14:paraId="59981E9F"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3BDBA762" w14:textId="4B6335D2"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74B12A79"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4BB755EC" w14:textId="02DF4B95"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53682336" w14:textId="77777777" w:rsidR="00E1794D" w:rsidRPr="005113BC" w:rsidRDefault="00E1794D" w:rsidP="00E1794D">
            <w:pPr>
              <w:jc w:val="center"/>
              <w:rPr>
                <w:sz w:val="20"/>
                <w:szCs w:val="20"/>
              </w:rPr>
            </w:pPr>
          </w:p>
        </w:tc>
        <w:tc>
          <w:tcPr>
            <w:tcW w:w="555" w:type="dxa"/>
            <w:tcMar>
              <w:left w:w="28" w:type="dxa"/>
              <w:right w:w="28" w:type="dxa"/>
            </w:tcMar>
          </w:tcPr>
          <w:p w14:paraId="5D1BBEB5" w14:textId="77777777" w:rsidR="00E1794D" w:rsidRPr="005113BC" w:rsidRDefault="00E1794D" w:rsidP="00E1794D">
            <w:pPr>
              <w:jc w:val="center"/>
              <w:rPr>
                <w:sz w:val="20"/>
                <w:szCs w:val="20"/>
              </w:rPr>
            </w:pPr>
          </w:p>
        </w:tc>
      </w:tr>
      <w:tr w:rsidR="00E1794D" w:rsidRPr="005113BC" w14:paraId="45B32730" w14:textId="77777777" w:rsidTr="00F0772B">
        <w:tc>
          <w:tcPr>
            <w:tcW w:w="3969" w:type="dxa"/>
          </w:tcPr>
          <w:p w14:paraId="4841798B" w14:textId="75301CC2" w:rsidR="00E1794D" w:rsidRPr="005113BC" w:rsidRDefault="00E1794D" w:rsidP="00E1794D">
            <w:pPr>
              <w:jc w:val="both"/>
              <w:rPr>
                <w:sz w:val="20"/>
                <w:szCs w:val="20"/>
              </w:rPr>
            </w:pPr>
            <w:r w:rsidRPr="005113BC">
              <w:rPr>
                <w:sz w:val="20"/>
                <w:szCs w:val="20"/>
              </w:rPr>
              <w:t xml:space="preserve">Zirgskābeņu zilenītis </w:t>
            </w:r>
            <w:r w:rsidRPr="005113BC">
              <w:rPr>
                <w:i/>
                <w:sz w:val="20"/>
                <w:szCs w:val="20"/>
              </w:rPr>
              <w:t>Lycaena dispar</w:t>
            </w:r>
          </w:p>
        </w:tc>
        <w:tc>
          <w:tcPr>
            <w:tcW w:w="555" w:type="dxa"/>
            <w:tcMar>
              <w:left w:w="28" w:type="dxa"/>
              <w:right w:w="28" w:type="dxa"/>
            </w:tcMar>
          </w:tcPr>
          <w:p w14:paraId="12E0B82B" w14:textId="77777777" w:rsidR="00E1794D" w:rsidRPr="005113BC" w:rsidRDefault="00E1794D" w:rsidP="00E1794D">
            <w:pPr>
              <w:jc w:val="center"/>
              <w:rPr>
                <w:sz w:val="20"/>
                <w:szCs w:val="20"/>
              </w:rPr>
            </w:pPr>
          </w:p>
        </w:tc>
        <w:tc>
          <w:tcPr>
            <w:tcW w:w="555" w:type="dxa"/>
            <w:tcMar>
              <w:left w:w="28" w:type="dxa"/>
              <w:right w:w="28" w:type="dxa"/>
            </w:tcMar>
          </w:tcPr>
          <w:p w14:paraId="520607F6"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4C6C4700"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70ECB4A5"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43DB227D"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48C6FBB0"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14B26675" w14:textId="08EFDB12"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1B114FFA"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0235E983" w14:textId="77777777" w:rsidR="00E1794D" w:rsidRPr="005113BC" w:rsidRDefault="00E1794D" w:rsidP="00E1794D">
            <w:pPr>
              <w:jc w:val="center"/>
              <w:rPr>
                <w:sz w:val="20"/>
                <w:szCs w:val="20"/>
              </w:rPr>
            </w:pPr>
          </w:p>
        </w:tc>
      </w:tr>
      <w:tr w:rsidR="00E1794D" w:rsidRPr="005113BC" w14:paraId="751B8A28" w14:textId="77777777" w:rsidTr="00F0772B">
        <w:tc>
          <w:tcPr>
            <w:tcW w:w="3969" w:type="dxa"/>
          </w:tcPr>
          <w:p w14:paraId="0219EC19" w14:textId="3B73E107" w:rsidR="00E1794D" w:rsidRPr="005113BC" w:rsidRDefault="00E1794D" w:rsidP="00E1794D">
            <w:pPr>
              <w:jc w:val="both"/>
              <w:rPr>
                <w:sz w:val="20"/>
                <w:szCs w:val="20"/>
              </w:rPr>
            </w:pPr>
            <w:r w:rsidRPr="005113BC">
              <w:rPr>
                <w:sz w:val="20"/>
                <w:szCs w:val="20"/>
              </w:rPr>
              <w:t xml:space="preserve">Brūnvālīšu zilenītis </w:t>
            </w:r>
            <w:r w:rsidRPr="005113BC">
              <w:rPr>
                <w:i/>
                <w:sz w:val="20"/>
                <w:szCs w:val="20"/>
              </w:rPr>
              <w:t>Maculinea teleius</w:t>
            </w:r>
          </w:p>
        </w:tc>
        <w:tc>
          <w:tcPr>
            <w:tcW w:w="555" w:type="dxa"/>
            <w:tcMar>
              <w:left w:w="28" w:type="dxa"/>
              <w:right w:w="28" w:type="dxa"/>
            </w:tcMar>
          </w:tcPr>
          <w:p w14:paraId="37832963" w14:textId="77777777" w:rsidR="00E1794D" w:rsidRPr="005113BC" w:rsidRDefault="00E1794D" w:rsidP="00E1794D">
            <w:pPr>
              <w:jc w:val="center"/>
              <w:rPr>
                <w:sz w:val="20"/>
                <w:szCs w:val="20"/>
              </w:rPr>
            </w:pPr>
          </w:p>
        </w:tc>
        <w:tc>
          <w:tcPr>
            <w:tcW w:w="555" w:type="dxa"/>
            <w:tcMar>
              <w:left w:w="28" w:type="dxa"/>
              <w:right w:w="28" w:type="dxa"/>
            </w:tcMar>
          </w:tcPr>
          <w:p w14:paraId="3DD79E8C" w14:textId="77777777" w:rsidR="00E1794D" w:rsidRPr="005113BC" w:rsidRDefault="00E1794D" w:rsidP="00E1794D">
            <w:pPr>
              <w:jc w:val="center"/>
              <w:rPr>
                <w:sz w:val="20"/>
                <w:szCs w:val="20"/>
              </w:rPr>
            </w:pPr>
          </w:p>
        </w:tc>
        <w:tc>
          <w:tcPr>
            <w:tcW w:w="555" w:type="dxa"/>
            <w:tcMar>
              <w:left w:w="28" w:type="dxa"/>
              <w:right w:w="28" w:type="dxa"/>
            </w:tcMar>
          </w:tcPr>
          <w:p w14:paraId="13EA3AB4" w14:textId="77777777" w:rsidR="00E1794D" w:rsidRPr="005113BC" w:rsidRDefault="00E1794D" w:rsidP="00E1794D">
            <w:pPr>
              <w:jc w:val="center"/>
              <w:rPr>
                <w:sz w:val="20"/>
                <w:szCs w:val="20"/>
              </w:rPr>
            </w:pPr>
          </w:p>
        </w:tc>
        <w:tc>
          <w:tcPr>
            <w:tcW w:w="555" w:type="dxa"/>
            <w:shd w:val="clear" w:color="auto" w:fill="auto"/>
            <w:tcMar>
              <w:left w:w="28" w:type="dxa"/>
              <w:right w:w="28" w:type="dxa"/>
            </w:tcMar>
          </w:tcPr>
          <w:p w14:paraId="1BDAB6B4" w14:textId="77777777"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309FCA6B" w14:textId="381496F4"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7D253918" w14:textId="77777777" w:rsidR="00E1794D" w:rsidRPr="005113BC" w:rsidRDefault="00E1794D" w:rsidP="00E1794D">
            <w:pPr>
              <w:jc w:val="center"/>
              <w:rPr>
                <w:sz w:val="20"/>
                <w:szCs w:val="20"/>
              </w:rPr>
            </w:pPr>
          </w:p>
        </w:tc>
        <w:tc>
          <w:tcPr>
            <w:tcW w:w="555" w:type="dxa"/>
            <w:shd w:val="clear" w:color="auto" w:fill="FF0000"/>
            <w:tcMar>
              <w:left w:w="28" w:type="dxa"/>
              <w:right w:w="28" w:type="dxa"/>
            </w:tcMar>
            <w:vAlign w:val="center"/>
          </w:tcPr>
          <w:p w14:paraId="180C3FD6" w14:textId="74B3FF80" w:rsidR="00E1794D" w:rsidRPr="005113BC" w:rsidRDefault="00E1794D" w:rsidP="00E1794D">
            <w:pPr>
              <w:jc w:val="center"/>
              <w:rPr>
                <w:sz w:val="20"/>
                <w:szCs w:val="20"/>
              </w:rPr>
            </w:pPr>
          </w:p>
        </w:tc>
        <w:tc>
          <w:tcPr>
            <w:tcW w:w="555" w:type="dxa"/>
            <w:shd w:val="clear" w:color="auto" w:fill="BFBFBF" w:themeFill="background1" w:themeFillShade="BF"/>
            <w:tcMar>
              <w:left w:w="28" w:type="dxa"/>
              <w:right w:w="28" w:type="dxa"/>
            </w:tcMar>
          </w:tcPr>
          <w:p w14:paraId="28F9C0CC" w14:textId="77777777" w:rsidR="00E1794D" w:rsidRPr="005113BC" w:rsidRDefault="00E1794D" w:rsidP="00E1794D">
            <w:pPr>
              <w:jc w:val="center"/>
              <w:rPr>
                <w:sz w:val="20"/>
                <w:szCs w:val="20"/>
              </w:rPr>
            </w:pPr>
          </w:p>
        </w:tc>
        <w:tc>
          <w:tcPr>
            <w:tcW w:w="555" w:type="dxa"/>
            <w:tcMar>
              <w:left w:w="28" w:type="dxa"/>
              <w:right w:w="28" w:type="dxa"/>
            </w:tcMar>
          </w:tcPr>
          <w:p w14:paraId="1066139A" w14:textId="77777777" w:rsidR="00E1794D" w:rsidRPr="005113BC" w:rsidRDefault="00E1794D" w:rsidP="00E1794D">
            <w:pPr>
              <w:jc w:val="center"/>
              <w:rPr>
                <w:sz w:val="20"/>
                <w:szCs w:val="20"/>
              </w:rPr>
            </w:pPr>
          </w:p>
        </w:tc>
      </w:tr>
      <w:tr w:rsidR="00422F22" w:rsidRPr="005113BC" w14:paraId="2A0CC996" w14:textId="77777777" w:rsidTr="00422F22">
        <w:tc>
          <w:tcPr>
            <w:tcW w:w="3969" w:type="dxa"/>
          </w:tcPr>
          <w:p w14:paraId="532D6E84" w14:textId="57A6B2C5" w:rsidR="00422F22" w:rsidRPr="005113BC" w:rsidRDefault="00422F22" w:rsidP="00E1794D">
            <w:pPr>
              <w:jc w:val="both"/>
              <w:rPr>
                <w:sz w:val="20"/>
                <w:szCs w:val="20"/>
              </w:rPr>
            </w:pPr>
            <w:r w:rsidRPr="005113BC">
              <w:rPr>
                <w:sz w:val="20"/>
                <w:szCs w:val="20"/>
              </w:rPr>
              <w:t xml:space="preserve">Cīrulīšu dižtauriņš </w:t>
            </w:r>
            <w:r w:rsidRPr="005113BC">
              <w:rPr>
                <w:i/>
                <w:sz w:val="20"/>
                <w:szCs w:val="20"/>
              </w:rPr>
              <w:t>Parnassius mnemosyne</w:t>
            </w:r>
          </w:p>
        </w:tc>
        <w:tc>
          <w:tcPr>
            <w:tcW w:w="555" w:type="dxa"/>
            <w:shd w:val="clear" w:color="auto" w:fill="FFFFFF" w:themeFill="background1"/>
            <w:tcMar>
              <w:left w:w="28" w:type="dxa"/>
              <w:right w:w="28" w:type="dxa"/>
            </w:tcMar>
          </w:tcPr>
          <w:p w14:paraId="10F59C37"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tcPr>
          <w:p w14:paraId="3976B0CA" w14:textId="77777777" w:rsidR="00422F22" w:rsidRPr="005113BC" w:rsidRDefault="00422F22" w:rsidP="00E1794D">
            <w:pPr>
              <w:jc w:val="center"/>
              <w:rPr>
                <w:sz w:val="20"/>
                <w:szCs w:val="20"/>
              </w:rPr>
            </w:pPr>
          </w:p>
        </w:tc>
        <w:tc>
          <w:tcPr>
            <w:tcW w:w="555" w:type="dxa"/>
            <w:shd w:val="clear" w:color="auto" w:fill="FF0000"/>
            <w:tcMar>
              <w:left w:w="28" w:type="dxa"/>
              <w:right w:w="28" w:type="dxa"/>
            </w:tcMar>
          </w:tcPr>
          <w:p w14:paraId="196901D0" w14:textId="77777777" w:rsidR="00422F22" w:rsidRPr="005113BC" w:rsidRDefault="00422F22" w:rsidP="00E1794D">
            <w:pPr>
              <w:jc w:val="center"/>
              <w:rPr>
                <w:sz w:val="20"/>
                <w:szCs w:val="20"/>
              </w:rPr>
            </w:pPr>
          </w:p>
        </w:tc>
        <w:tc>
          <w:tcPr>
            <w:tcW w:w="555" w:type="dxa"/>
            <w:shd w:val="clear" w:color="auto" w:fill="FF0000"/>
            <w:tcMar>
              <w:left w:w="28" w:type="dxa"/>
              <w:right w:w="28" w:type="dxa"/>
            </w:tcMar>
          </w:tcPr>
          <w:p w14:paraId="6C774687"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36D98B33"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52BDFB91"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vAlign w:val="center"/>
          </w:tcPr>
          <w:p w14:paraId="5D68D3EC"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1996F44E"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4F271992" w14:textId="77777777" w:rsidR="00422F22" w:rsidRPr="005113BC" w:rsidRDefault="00422F22" w:rsidP="00E1794D">
            <w:pPr>
              <w:jc w:val="center"/>
              <w:rPr>
                <w:sz w:val="20"/>
                <w:szCs w:val="20"/>
              </w:rPr>
            </w:pPr>
          </w:p>
        </w:tc>
      </w:tr>
      <w:tr w:rsidR="00422F22" w:rsidRPr="005113BC" w14:paraId="6A45C3C4" w14:textId="77777777" w:rsidTr="00422F22">
        <w:tc>
          <w:tcPr>
            <w:tcW w:w="3969" w:type="dxa"/>
          </w:tcPr>
          <w:p w14:paraId="0C5564F4" w14:textId="292456A2" w:rsidR="00422F22" w:rsidRPr="005113BC" w:rsidRDefault="00422F22" w:rsidP="00E1794D">
            <w:pPr>
              <w:jc w:val="both"/>
              <w:rPr>
                <w:sz w:val="20"/>
                <w:szCs w:val="20"/>
              </w:rPr>
            </w:pPr>
            <w:r w:rsidRPr="005113BC">
              <w:rPr>
                <w:sz w:val="20"/>
                <w:szCs w:val="20"/>
              </w:rPr>
              <w:lastRenderedPageBreak/>
              <w:t xml:space="preserve">Lielais viršu zilenītis </w:t>
            </w:r>
            <w:r w:rsidRPr="005113BC">
              <w:rPr>
                <w:i/>
                <w:sz w:val="20"/>
                <w:szCs w:val="20"/>
              </w:rPr>
              <w:t>Phengaris arion</w:t>
            </w:r>
          </w:p>
        </w:tc>
        <w:tc>
          <w:tcPr>
            <w:tcW w:w="555" w:type="dxa"/>
            <w:shd w:val="clear" w:color="auto" w:fill="FFFFFF" w:themeFill="background1"/>
            <w:tcMar>
              <w:left w:w="28" w:type="dxa"/>
              <w:right w:w="28" w:type="dxa"/>
            </w:tcMar>
          </w:tcPr>
          <w:p w14:paraId="430E9B57"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226A2303"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5CCDEBBA"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62D91CE7"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3E36BE0F"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55260DC1"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2FEA89D1" w14:textId="77777777" w:rsidR="00422F22" w:rsidRPr="005113BC" w:rsidRDefault="00422F22" w:rsidP="00E1794D">
            <w:pPr>
              <w:jc w:val="center"/>
              <w:rPr>
                <w:sz w:val="20"/>
                <w:szCs w:val="20"/>
              </w:rPr>
            </w:pPr>
          </w:p>
        </w:tc>
        <w:tc>
          <w:tcPr>
            <w:tcW w:w="555" w:type="dxa"/>
            <w:shd w:val="clear" w:color="auto" w:fill="FF0000"/>
            <w:tcMar>
              <w:left w:w="28" w:type="dxa"/>
              <w:right w:w="28" w:type="dxa"/>
            </w:tcMar>
          </w:tcPr>
          <w:p w14:paraId="53B5F58F"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tcPr>
          <w:p w14:paraId="069A589A" w14:textId="77777777" w:rsidR="00422F22" w:rsidRPr="005113BC" w:rsidRDefault="00422F22" w:rsidP="00E1794D">
            <w:pPr>
              <w:jc w:val="center"/>
              <w:rPr>
                <w:sz w:val="20"/>
                <w:szCs w:val="20"/>
              </w:rPr>
            </w:pPr>
          </w:p>
        </w:tc>
      </w:tr>
      <w:tr w:rsidR="00422F22" w:rsidRPr="005113BC" w14:paraId="79715F18" w14:textId="77777777" w:rsidTr="00422F22">
        <w:tc>
          <w:tcPr>
            <w:tcW w:w="3969" w:type="dxa"/>
          </w:tcPr>
          <w:p w14:paraId="3327EDA4" w14:textId="742E56C8" w:rsidR="00422F22" w:rsidRPr="005113BC" w:rsidRDefault="00422F22" w:rsidP="00E1794D">
            <w:pPr>
              <w:jc w:val="both"/>
              <w:rPr>
                <w:sz w:val="20"/>
                <w:szCs w:val="20"/>
              </w:rPr>
            </w:pPr>
            <w:r w:rsidRPr="005113BC">
              <w:rPr>
                <w:sz w:val="20"/>
                <w:szCs w:val="20"/>
              </w:rPr>
              <w:t xml:space="preserve">Meža sīksamtenis </w:t>
            </w:r>
            <w:r w:rsidRPr="005113BC">
              <w:rPr>
                <w:i/>
                <w:sz w:val="20"/>
                <w:szCs w:val="20"/>
              </w:rPr>
              <w:t>Coenonympha hero</w:t>
            </w:r>
          </w:p>
        </w:tc>
        <w:tc>
          <w:tcPr>
            <w:tcW w:w="555" w:type="dxa"/>
            <w:shd w:val="clear" w:color="auto" w:fill="FFFFFF" w:themeFill="background1"/>
            <w:tcMar>
              <w:left w:w="28" w:type="dxa"/>
              <w:right w:w="28" w:type="dxa"/>
            </w:tcMar>
          </w:tcPr>
          <w:p w14:paraId="1DD476D6"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7ADFA370"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tcPr>
          <w:p w14:paraId="708E0CA0" w14:textId="77777777" w:rsidR="00422F22" w:rsidRPr="005113BC" w:rsidRDefault="00422F22" w:rsidP="00E1794D">
            <w:pPr>
              <w:jc w:val="center"/>
              <w:rPr>
                <w:sz w:val="20"/>
                <w:szCs w:val="20"/>
              </w:rPr>
            </w:pPr>
          </w:p>
        </w:tc>
        <w:tc>
          <w:tcPr>
            <w:tcW w:w="555" w:type="dxa"/>
            <w:shd w:val="clear" w:color="auto" w:fill="FF0000"/>
            <w:tcMar>
              <w:left w:w="28" w:type="dxa"/>
              <w:right w:w="28" w:type="dxa"/>
            </w:tcMar>
          </w:tcPr>
          <w:p w14:paraId="14874998"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251EFC40"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30BFE749"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vAlign w:val="center"/>
          </w:tcPr>
          <w:p w14:paraId="4D18B2A9"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478AE0C0"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35DCFA0C" w14:textId="77777777" w:rsidR="00422F22" w:rsidRPr="005113BC" w:rsidRDefault="00422F22" w:rsidP="00E1794D">
            <w:pPr>
              <w:jc w:val="center"/>
              <w:rPr>
                <w:sz w:val="20"/>
                <w:szCs w:val="20"/>
              </w:rPr>
            </w:pPr>
          </w:p>
        </w:tc>
      </w:tr>
      <w:tr w:rsidR="00422F22" w:rsidRPr="005113BC" w14:paraId="7B62FDB3" w14:textId="77777777" w:rsidTr="00422F22">
        <w:tc>
          <w:tcPr>
            <w:tcW w:w="3969" w:type="dxa"/>
          </w:tcPr>
          <w:p w14:paraId="3E668D7A" w14:textId="5525C393" w:rsidR="00422F22" w:rsidRPr="005113BC" w:rsidRDefault="00422F22" w:rsidP="00E1794D">
            <w:pPr>
              <w:jc w:val="both"/>
              <w:rPr>
                <w:sz w:val="20"/>
                <w:szCs w:val="20"/>
              </w:rPr>
            </w:pPr>
            <w:r w:rsidRPr="005113BC">
              <w:rPr>
                <w:sz w:val="20"/>
                <w:szCs w:val="20"/>
              </w:rPr>
              <w:t xml:space="preserve">Gāršas samtenis </w:t>
            </w:r>
            <w:r w:rsidRPr="005113BC">
              <w:rPr>
                <w:i/>
                <w:sz w:val="20"/>
                <w:szCs w:val="20"/>
              </w:rPr>
              <w:t>Lopinga achine</w:t>
            </w:r>
          </w:p>
        </w:tc>
        <w:tc>
          <w:tcPr>
            <w:tcW w:w="555" w:type="dxa"/>
            <w:shd w:val="clear" w:color="auto" w:fill="FFFFFF" w:themeFill="background1"/>
            <w:tcMar>
              <w:left w:w="28" w:type="dxa"/>
              <w:right w:w="28" w:type="dxa"/>
            </w:tcMar>
          </w:tcPr>
          <w:p w14:paraId="7F4E5BC1"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7C230487"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6671B457"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tcPr>
          <w:p w14:paraId="33204CD7"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7930A8C5"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5AC79782" w14:textId="77777777" w:rsidR="00422F22" w:rsidRPr="005113BC" w:rsidRDefault="00422F22" w:rsidP="00E1794D">
            <w:pPr>
              <w:jc w:val="center"/>
              <w:rPr>
                <w:sz w:val="20"/>
                <w:szCs w:val="20"/>
              </w:rPr>
            </w:pPr>
          </w:p>
        </w:tc>
        <w:tc>
          <w:tcPr>
            <w:tcW w:w="555" w:type="dxa"/>
            <w:shd w:val="clear" w:color="auto" w:fill="FF0000"/>
            <w:tcMar>
              <w:left w:w="28" w:type="dxa"/>
              <w:right w:w="28" w:type="dxa"/>
            </w:tcMar>
            <w:vAlign w:val="center"/>
          </w:tcPr>
          <w:p w14:paraId="360C3F80" w14:textId="77777777" w:rsidR="00422F22" w:rsidRPr="005113BC" w:rsidRDefault="00422F22" w:rsidP="00E1794D">
            <w:pPr>
              <w:jc w:val="center"/>
              <w:rPr>
                <w:sz w:val="20"/>
                <w:szCs w:val="20"/>
              </w:rPr>
            </w:pPr>
          </w:p>
        </w:tc>
        <w:tc>
          <w:tcPr>
            <w:tcW w:w="555" w:type="dxa"/>
            <w:shd w:val="clear" w:color="auto" w:fill="BFBFBF" w:themeFill="background1" w:themeFillShade="BF"/>
            <w:tcMar>
              <w:left w:w="28" w:type="dxa"/>
              <w:right w:w="28" w:type="dxa"/>
            </w:tcMar>
          </w:tcPr>
          <w:p w14:paraId="0EECF336"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333B0CB3" w14:textId="77777777" w:rsidR="00422F22" w:rsidRPr="005113BC" w:rsidRDefault="00422F22" w:rsidP="00E1794D">
            <w:pPr>
              <w:jc w:val="center"/>
              <w:rPr>
                <w:sz w:val="20"/>
                <w:szCs w:val="20"/>
              </w:rPr>
            </w:pPr>
          </w:p>
        </w:tc>
      </w:tr>
      <w:tr w:rsidR="00422F22" w:rsidRPr="005113BC" w14:paraId="2C0594B1" w14:textId="77777777" w:rsidTr="00422F22">
        <w:tc>
          <w:tcPr>
            <w:tcW w:w="3969" w:type="dxa"/>
          </w:tcPr>
          <w:p w14:paraId="2ECF35D5" w14:textId="07DCB9C6" w:rsidR="00422F22" w:rsidRPr="005113BC" w:rsidRDefault="00422F22" w:rsidP="00E1794D">
            <w:pPr>
              <w:jc w:val="both"/>
              <w:rPr>
                <w:sz w:val="20"/>
                <w:szCs w:val="20"/>
              </w:rPr>
            </w:pPr>
            <w:r w:rsidRPr="005113BC">
              <w:rPr>
                <w:sz w:val="20"/>
                <w:szCs w:val="20"/>
              </w:rPr>
              <w:t xml:space="preserve">Zobspārnu sfings </w:t>
            </w:r>
            <w:r w:rsidRPr="005113BC">
              <w:rPr>
                <w:i/>
                <w:sz w:val="20"/>
                <w:szCs w:val="20"/>
              </w:rPr>
              <w:t>Proserpinus proserpina</w:t>
            </w:r>
          </w:p>
        </w:tc>
        <w:tc>
          <w:tcPr>
            <w:tcW w:w="555" w:type="dxa"/>
            <w:shd w:val="clear" w:color="auto" w:fill="FFFFFF" w:themeFill="background1"/>
            <w:tcMar>
              <w:left w:w="28" w:type="dxa"/>
              <w:right w:w="28" w:type="dxa"/>
            </w:tcMar>
          </w:tcPr>
          <w:p w14:paraId="5E50FC8D"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63F594B2"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5F566AF2" w14:textId="77777777" w:rsidR="00422F22" w:rsidRPr="005113BC" w:rsidRDefault="00422F22" w:rsidP="00E1794D">
            <w:pPr>
              <w:jc w:val="center"/>
              <w:rPr>
                <w:sz w:val="20"/>
                <w:szCs w:val="20"/>
              </w:rPr>
            </w:pPr>
          </w:p>
        </w:tc>
        <w:tc>
          <w:tcPr>
            <w:tcW w:w="555" w:type="dxa"/>
            <w:shd w:val="clear" w:color="auto" w:fill="auto"/>
            <w:tcMar>
              <w:left w:w="28" w:type="dxa"/>
              <w:right w:w="28" w:type="dxa"/>
            </w:tcMar>
          </w:tcPr>
          <w:p w14:paraId="1151B08A" w14:textId="4690837A" w:rsidR="00422F22" w:rsidRPr="005113BC" w:rsidRDefault="005E7FFE" w:rsidP="00E1794D">
            <w:pPr>
              <w:jc w:val="center"/>
              <w:rPr>
                <w:sz w:val="20"/>
                <w:szCs w:val="20"/>
              </w:rPr>
            </w:pPr>
            <w:r w:rsidRPr="005113BC">
              <w:rPr>
                <w:sz w:val="20"/>
                <w:szCs w:val="20"/>
              </w:rPr>
              <w:t>?</w:t>
            </w:r>
          </w:p>
        </w:tc>
        <w:tc>
          <w:tcPr>
            <w:tcW w:w="555" w:type="dxa"/>
            <w:shd w:val="clear" w:color="auto" w:fill="auto"/>
            <w:tcMar>
              <w:left w:w="28" w:type="dxa"/>
              <w:right w:w="28" w:type="dxa"/>
            </w:tcMar>
            <w:vAlign w:val="center"/>
          </w:tcPr>
          <w:p w14:paraId="05EE63D2" w14:textId="1110A4D7" w:rsidR="00422F22" w:rsidRPr="005113BC" w:rsidRDefault="005E7FFE" w:rsidP="00E1794D">
            <w:pPr>
              <w:jc w:val="center"/>
              <w:rPr>
                <w:sz w:val="20"/>
                <w:szCs w:val="20"/>
              </w:rPr>
            </w:pPr>
            <w:r w:rsidRPr="005113BC">
              <w:rPr>
                <w:sz w:val="20"/>
                <w:szCs w:val="20"/>
              </w:rPr>
              <w:t>?</w:t>
            </w:r>
          </w:p>
        </w:tc>
        <w:tc>
          <w:tcPr>
            <w:tcW w:w="555" w:type="dxa"/>
            <w:shd w:val="clear" w:color="auto" w:fill="auto"/>
            <w:tcMar>
              <w:left w:w="28" w:type="dxa"/>
              <w:right w:w="28" w:type="dxa"/>
            </w:tcMar>
            <w:vAlign w:val="center"/>
          </w:tcPr>
          <w:p w14:paraId="25781FEB" w14:textId="3110C214" w:rsidR="00422F22" w:rsidRPr="005113BC" w:rsidRDefault="005E7FFE" w:rsidP="00E1794D">
            <w:pPr>
              <w:jc w:val="center"/>
              <w:rPr>
                <w:sz w:val="20"/>
                <w:szCs w:val="20"/>
              </w:rPr>
            </w:pPr>
            <w:r w:rsidRPr="005113BC">
              <w:rPr>
                <w:sz w:val="20"/>
                <w:szCs w:val="20"/>
              </w:rPr>
              <w:t>?</w:t>
            </w:r>
          </w:p>
        </w:tc>
        <w:tc>
          <w:tcPr>
            <w:tcW w:w="555" w:type="dxa"/>
            <w:shd w:val="clear" w:color="auto" w:fill="auto"/>
            <w:tcMar>
              <w:left w:w="28" w:type="dxa"/>
              <w:right w:w="28" w:type="dxa"/>
            </w:tcMar>
            <w:vAlign w:val="center"/>
          </w:tcPr>
          <w:p w14:paraId="0C6D4FCB" w14:textId="6AF23C2D" w:rsidR="00422F22" w:rsidRPr="005113BC" w:rsidRDefault="005E7FFE" w:rsidP="00E1794D">
            <w:pPr>
              <w:jc w:val="center"/>
              <w:rPr>
                <w:sz w:val="20"/>
                <w:szCs w:val="20"/>
              </w:rPr>
            </w:pPr>
            <w:r w:rsidRPr="005113BC">
              <w:rPr>
                <w:sz w:val="20"/>
                <w:szCs w:val="20"/>
              </w:rPr>
              <w:t>?</w:t>
            </w:r>
          </w:p>
        </w:tc>
        <w:tc>
          <w:tcPr>
            <w:tcW w:w="555" w:type="dxa"/>
            <w:shd w:val="clear" w:color="auto" w:fill="FFFFFF" w:themeFill="background1"/>
            <w:tcMar>
              <w:left w:w="28" w:type="dxa"/>
              <w:right w:w="28" w:type="dxa"/>
            </w:tcMar>
          </w:tcPr>
          <w:p w14:paraId="589AD4EB" w14:textId="77777777" w:rsidR="00422F22" w:rsidRPr="005113BC" w:rsidRDefault="00422F22" w:rsidP="00E1794D">
            <w:pPr>
              <w:jc w:val="center"/>
              <w:rPr>
                <w:sz w:val="20"/>
                <w:szCs w:val="20"/>
              </w:rPr>
            </w:pPr>
          </w:p>
        </w:tc>
        <w:tc>
          <w:tcPr>
            <w:tcW w:w="555" w:type="dxa"/>
            <w:shd w:val="clear" w:color="auto" w:fill="FFFFFF" w:themeFill="background1"/>
            <w:tcMar>
              <w:left w:w="28" w:type="dxa"/>
              <w:right w:w="28" w:type="dxa"/>
            </w:tcMar>
          </w:tcPr>
          <w:p w14:paraId="46E721B9" w14:textId="77777777" w:rsidR="00422F22" w:rsidRPr="005113BC" w:rsidRDefault="00422F22" w:rsidP="00E1794D">
            <w:pPr>
              <w:jc w:val="center"/>
              <w:rPr>
                <w:sz w:val="20"/>
                <w:szCs w:val="20"/>
              </w:rPr>
            </w:pPr>
          </w:p>
        </w:tc>
      </w:tr>
    </w:tbl>
    <w:p w14:paraId="79694386" w14:textId="56506417" w:rsidR="00A01522" w:rsidRPr="005113BC" w:rsidRDefault="00A01522" w:rsidP="00A01522">
      <w:pPr>
        <w:jc w:val="both"/>
      </w:pPr>
    </w:p>
    <w:p w14:paraId="75F94C85" w14:textId="0A197198" w:rsidR="004145C8" w:rsidRPr="005113BC" w:rsidRDefault="004145C8" w:rsidP="00A01522">
      <w:pPr>
        <w:jc w:val="both"/>
      </w:pPr>
      <w:r w:rsidRPr="005113BC">
        <w:t>Nelabvēlīgu laika apstākļu dēļ uzskaites jāatliek līdz dienai ar tām piemērotu laiku vai uz nākamo sezonu. Ieteicams uzskaišu veikšanu plānot norādīto uzskaišu periodu sākumā vai vidū, lai uzskaitei nelabvēlīgu apstākļu gadījumā, paliktu laika rezerve uzskaites veikšanai sākotnēji ieplānotajā kalendārajā gadā. Uzskaite jāsāk ne agrāk kā plkst. 10:00 un to var turpināt līdz plkst. 1</w:t>
      </w:r>
      <w:r w:rsidR="00A01522" w:rsidRPr="005113BC">
        <w:t>6</w:t>
      </w:r>
      <w:r w:rsidRPr="005113BC">
        <w:t>:00. Ja rīts vai pēcpusdiena ir vēsa un mitra, uzskaiti veic vēlāk vai citā dienā.</w:t>
      </w:r>
      <w:r w:rsidR="00A01522" w:rsidRPr="005113BC">
        <w:t xml:space="preserve"> Ja ir labvēlīgi apstākļi, tad uzskaites periods var būt ilgāks – 9.00-18.00.</w:t>
      </w:r>
    </w:p>
    <w:p w14:paraId="65BFD648" w14:textId="71DFF30A" w:rsidR="00422F22" w:rsidRPr="005113BC" w:rsidRDefault="00422F22" w:rsidP="00A01522">
      <w:pPr>
        <w:rPr>
          <w:b/>
        </w:rPr>
      </w:pPr>
    </w:p>
    <w:p w14:paraId="54D8D227" w14:textId="05514933" w:rsidR="00324EF1" w:rsidRPr="00F846A9" w:rsidRDefault="00F846A9" w:rsidP="00F846A9">
      <w:pPr>
        <w:rPr>
          <w:b/>
          <w:color w:val="0070C0"/>
        </w:rPr>
      </w:pPr>
      <w:r>
        <w:rPr>
          <w:b/>
          <w:color w:val="0070C0"/>
        </w:rPr>
        <w:t xml:space="preserve">6. </w:t>
      </w:r>
      <w:r w:rsidR="00324EF1" w:rsidRPr="00F846A9">
        <w:rPr>
          <w:b/>
          <w:color w:val="0070C0"/>
        </w:rPr>
        <w:t>Laikapstākļi monitoringa uzskaišu veikšanai</w:t>
      </w:r>
    </w:p>
    <w:p w14:paraId="1D031616" w14:textId="77777777" w:rsidR="00324EF1" w:rsidRPr="005113BC" w:rsidRDefault="00324EF1" w:rsidP="00324EF1">
      <w:pPr>
        <w:ind w:firstLine="567"/>
        <w:rPr>
          <w:b/>
        </w:rPr>
      </w:pPr>
    </w:p>
    <w:p w14:paraId="1A72FD65" w14:textId="2329621B" w:rsidR="00324EF1" w:rsidRPr="005113BC" w:rsidRDefault="00324EF1" w:rsidP="007723BF">
      <w:pPr>
        <w:jc w:val="both"/>
      </w:pPr>
      <w:r w:rsidRPr="005113BC">
        <w:t>Uzskaiti veic, ja gaisa temperatūra ir augstāka par +17</w:t>
      </w:r>
      <w:r w:rsidRPr="005113BC">
        <w:rPr>
          <w:vertAlign w:val="superscript"/>
        </w:rPr>
        <w:t>o</w:t>
      </w:r>
      <w:r w:rsidRPr="005113BC">
        <w:t>C, mākoņainums n</w:t>
      </w:r>
      <w:r w:rsidR="0056684F">
        <w:t>av</w:t>
      </w:r>
      <w:r w:rsidRPr="005113BC">
        <w:t xml:space="preserve"> lielāks par 50%</w:t>
      </w:r>
      <w:r w:rsidR="0056684F">
        <w:t xml:space="preserve"> un</w:t>
      </w:r>
      <w:r w:rsidRPr="005113BC">
        <w:t xml:space="preserve"> </w:t>
      </w:r>
      <w:r w:rsidR="00A01522" w:rsidRPr="005113BC">
        <w:t xml:space="preserve">vēja ātrums nepārsniedz </w:t>
      </w:r>
      <w:r w:rsidR="007723BF" w:rsidRPr="005113BC">
        <w:t>5 m/s. Apmākušās dienās aktivitāte ir zemāka, tādēļ uzskaites apmākušās dienās var veikt, ja gaisa temperatūra pārsniedz +20</w:t>
      </w:r>
      <w:r w:rsidR="007723BF" w:rsidRPr="005113BC">
        <w:rPr>
          <w:sz w:val="28"/>
          <w:vertAlign w:val="superscript"/>
        </w:rPr>
        <w:t>o</w:t>
      </w:r>
      <w:r w:rsidR="007723BF" w:rsidRPr="005113BC">
        <w:t>C. Ja ir nokrišņi, uzskaiti neveic. Pēc nokrišņiem dienastauriņu uzskaite atsākama apmēram pēc 1 h, ja gaisa temperatūra pārsniedz +20</w:t>
      </w:r>
      <w:r w:rsidR="007723BF" w:rsidRPr="005113BC">
        <w:rPr>
          <w:sz w:val="28"/>
          <w:vertAlign w:val="superscript"/>
        </w:rPr>
        <w:t>o</w:t>
      </w:r>
      <w:r w:rsidR="007723BF" w:rsidRPr="005113BC">
        <w:t>C. Novērojumu laikā jābūt labvēlīgam mikroklimatam: aizvējam, saules apspīdētai vietai.</w:t>
      </w:r>
    </w:p>
    <w:p w14:paraId="5BF34595" w14:textId="77777777" w:rsidR="00B657C5" w:rsidRPr="005113BC" w:rsidRDefault="00B657C5" w:rsidP="007723BF">
      <w:pPr>
        <w:jc w:val="both"/>
      </w:pPr>
    </w:p>
    <w:p w14:paraId="60268206" w14:textId="74C11B06" w:rsidR="007723BF" w:rsidRPr="005113BC" w:rsidRDefault="00F846A9" w:rsidP="00F846A9">
      <w:pPr>
        <w:jc w:val="both"/>
      </w:pPr>
      <w:r>
        <w:rPr>
          <w:b/>
          <w:color w:val="0070C0"/>
        </w:rPr>
        <w:t xml:space="preserve">7. </w:t>
      </w:r>
      <w:r w:rsidR="007723BF" w:rsidRPr="00F846A9">
        <w:rPr>
          <w:b/>
          <w:color w:val="0070C0"/>
        </w:rPr>
        <w:t>Monitoringa uzskaišu lauka darbi</w:t>
      </w:r>
    </w:p>
    <w:p w14:paraId="486FD665" w14:textId="77777777" w:rsidR="00324EF1" w:rsidRPr="005113BC" w:rsidRDefault="00324EF1" w:rsidP="00324EF1">
      <w:pPr>
        <w:ind w:firstLine="567"/>
        <w:rPr>
          <w:b/>
        </w:rPr>
      </w:pPr>
    </w:p>
    <w:p w14:paraId="0BE41A0B" w14:textId="3336E79B" w:rsidR="0000434D" w:rsidRPr="005113BC" w:rsidRDefault="00D13D6A" w:rsidP="00D13D6A">
      <w:pPr>
        <w:jc w:val="both"/>
        <w:rPr>
          <w:szCs w:val="20"/>
        </w:rPr>
      </w:pPr>
      <w:r w:rsidRPr="005113BC">
        <w:t xml:space="preserve">Dienas tauriņu </w:t>
      </w:r>
      <w:r w:rsidR="007723BF" w:rsidRPr="005113BC">
        <w:t xml:space="preserve">monitoringa programmas ietvaros, kā prioritārās tiek uzskaitītas </w:t>
      </w:r>
      <w:r w:rsidR="00564DB4" w:rsidRPr="005113BC">
        <w:t>četras</w:t>
      </w:r>
      <w:r w:rsidR="007723BF" w:rsidRPr="005113BC">
        <w:t xml:space="preserve"> </w:t>
      </w:r>
      <w:r w:rsidR="00564DB4" w:rsidRPr="005113BC">
        <w:t>tauriņu</w:t>
      </w:r>
      <w:r w:rsidR="007723BF" w:rsidRPr="005113BC">
        <w:t xml:space="preserve"> sugas – </w:t>
      </w:r>
      <w:r w:rsidR="00564DB4" w:rsidRPr="005113BC">
        <w:t xml:space="preserve">skabiozu pļavraibenis </w:t>
      </w:r>
      <w:r w:rsidR="00564DB4" w:rsidRPr="005113BC">
        <w:rPr>
          <w:i/>
          <w:iCs/>
        </w:rPr>
        <w:t>Euphydryas aurinia</w:t>
      </w:r>
      <w:r w:rsidR="00564DB4" w:rsidRPr="005113BC">
        <w:rPr>
          <w:iCs/>
        </w:rPr>
        <w:t>,</w:t>
      </w:r>
      <w:r w:rsidR="00564DB4" w:rsidRPr="005113BC">
        <w:t xml:space="preserve"> </w:t>
      </w:r>
      <w:r w:rsidR="00564DB4" w:rsidRPr="005113BC">
        <w:rPr>
          <w:iCs/>
        </w:rPr>
        <w:t>o</w:t>
      </w:r>
      <w:r w:rsidR="00564DB4" w:rsidRPr="005113BC">
        <w:t xml:space="preserve">šu pļavraibenis </w:t>
      </w:r>
      <w:r w:rsidR="00564DB4" w:rsidRPr="005113BC">
        <w:rPr>
          <w:i/>
          <w:iCs/>
        </w:rPr>
        <w:t>Euphydryas maturna</w:t>
      </w:r>
      <w:r w:rsidR="00564DB4" w:rsidRPr="005113BC">
        <w:rPr>
          <w:iCs/>
        </w:rPr>
        <w:t>, z</w:t>
      </w:r>
      <w:r w:rsidR="00564DB4" w:rsidRPr="005113BC">
        <w:t xml:space="preserve">irgskābeņu zilenītis </w:t>
      </w:r>
      <w:r w:rsidR="00564DB4" w:rsidRPr="005113BC">
        <w:rPr>
          <w:i/>
          <w:iCs/>
        </w:rPr>
        <w:t>Lycaena dispar</w:t>
      </w:r>
      <w:r w:rsidR="00564DB4" w:rsidRPr="005113BC">
        <w:rPr>
          <w:iCs/>
        </w:rPr>
        <w:t xml:space="preserve"> un b</w:t>
      </w:r>
      <w:r w:rsidR="00564DB4" w:rsidRPr="005113BC">
        <w:t xml:space="preserve">rūnvālīšu zilenītis </w:t>
      </w:r>
      <w:r w:rsidR="00564DB4" w:rsidRPr="005113BC">
        <w:rPr>
          <w:i/>
          <w:iCs/>
        </w:rPr>
        <w:t>Phengaris teleius</w:t>
      </w:r>
      <w:r w:rsidR="00564DB4" w:rsidRPr="005113BC">
        <w:rPr>
          <w:szCs w:val="20"/>
        </w:rPr>
        <w:t xml:space="preserve">. </w:t>
      </w:r>
    </w:p>
    <w:p w14:paraId="092D91E5" w14:textId="05A56C65" w:rsidR="00564DB4" w:rsidRPr="005113BC" w:rsidRDefault="007723BF" w:rsidP="00564DB4">
      <w:pPr>
        <w:jc w:val="both"/>
      </w:pPr>
      <w:r w:rsidRPr="005113BC">
        <w:t>Kā papildus uzskaitām</w:t>
      </w:r>
      <w:r w:rsidR="00C70C06" w:rsidRPr="005113BC">
        <w:t>a</w:t>
      </w:r>
      <w:r w:rsidR="00D42A2D">
        <w:t>s</w:t>
      </w:r>
      <w:r w:rsidRPr="005113BC">
        <w:t xml:space="preserve"> sugas ir </w:t>
      </w:r>
      <w:r w:rsidR="00564DB4" w:rsidRPr="005113BC">
        <w:t xml:space="preserve">meža sīksamtenis </w:t>
      </w:r>
      <w:r w:rsidR="00564DB4" w:rsidRPr="005113BC">
        <w:rPr>
          <w:i/>
        </w:rPr>
        <w:t>Coenonympha hero</w:t>
      </w:r>
      <w:r w:rsidR="00564DB4" w:rsidRPr="005113BC">
        <w:rPr>
          <w:iCs/>
        </w:rPr>
        <w:t xml:space="preserve">, </w:t>
      </w:r>
      <w:r w:rsidR="00564DB4" w:rsidRPr="005113BC">
        <w:t xml:space="preserve">gāršas samtenis </w:t>
      </w:r>
      <w:r w:rsidR="00564DB4" w:rsidRPr="005113BC">
        <w:rPr>
          <w:i/>
        </w:rPr>
        <w:t>Lopinga achine</w:t>
      </w:r>
      <w:r w:rsidR="00564DB4" w:rsidRPr="005113BC">
        <w:rPr>
          <w:iCs/>
        </w:rPr>
        <w:t xml:space="preserve">, </w:t>
      </w:r>
      <w:r w:rsidR="00564DB4" w:rsidRPr="005113BC">
        <w:t xml:space="preserve">lielais viršu zilenītis </w:t>
      </w:r>
      <w:r w:rsidR="00564DB4" w:rsidRPr="005113BC">
        <w:rPr>
          <w:i/>
        </w:rPr>
        <w:t>Maculinea arion</w:t>
      </w:r>
      <w:r w:rsidR="00564DB4" w:rsidRPr="005113BC">
        <w:rPr>
          <w:iCs/>
        </w:rPr>
        <w:t xml:space="preserve">, </w:t>
      </w:r>
      <w:r w:rsidR="00564DB4" w:rsidRPr="005113BC">
        <w:t xml:space="preserve">cīrulīšu dižtauriņš </w:t>
      </w:r>
      <w:r w:rsidR="00564DB4" w:rsidRPr="005113BC">
        <w:rPr>
          <w:i/>
        </w:rPr>
        <w:t>Parnassius mnemosyne</w:t>
      </w:r>
      <w:r w:rsidR="00564DB4" w:rsidRPr="005113BC">
        <w:rPr>
          <w:iCs/>
        </w:rPr>
        <w:t xml:space="preserve">, </w:t>
      </w:r>
      <w:r w:rsidR="00564DB4" w:rsidRPr="005113BC">
        <w:t xml:space="preserve">zobspārnu sfings </w:t>
      </w:r>
      <w:r w:rsidR="00564DB4" w:rsidRPr="005113BC">
        <w:rPr>
          <w:i/>
        </w:rPr>
        <w:t>Proserpinus proserpina</w:t>
      </w:r>
      <w:r w:rsidR="00564DB4" w:rsidRPr="005113BC">
        <w:t>.</w:t>
      </w:r>
      <w:r w:rsidR="00C70C06" w:rsidRPr="005113BC">
        <w:t xml:space="preserve"> Šo sugu apdzīvotie biotopi lielā mērā pārsedzas ar prioritāri monitorējamo sugu imago barošanās biotopiem un tādēļ prioritāri monitorējamo sugu uzskaišu laikā iegūtie dati var būt reprezentatīvi un ar relatīvi nelieliem papildinājumiem izmantojami papildus sugu stāvokļa novērtēšanai.</w:t>
      </w:r>
    </w:p>
    <w:p w14:paraId="12C4DD09" w14:textId="77777777" w:rsidR="00564DB4" w:rsidRPr="005113BC" w:rsidRDefault="00564DB4" w:rsidP="00D13D6A">
      <w:pPr>
        <w:jc w:val="both"/>
        <w:rPr>
          <w:highlight w:val="yellow"/>
        </w:rPr>
      </w:pPr>
    </w:p>
    <w:p w14:paraId="7B9F8590" w14:textId="0B5BA07E" w:rsidR="007723BF" w:rsidRPr="005113BC" w:rsidRDefault="00C70C06" w:rsidP="00C70C06">
      <w:pPr>
        <w:jc w:val="both"/>
      </w:pPr>
      <w:r w:rsidRPr="005113BC">
        <w:t>Die</w:t>
      </w:r>
      <w:r w:rsidR="001A669E" w:rsidRPr="005113BC">
        <w:t>n</w:t>
      </w:r>
      <w:r w:rsidRPr="005113BC">
        <w:t xml:space="preserve">as tauriņu </w:t>
      </w:r>
      <w:r w:rsidR="007723BF" w:rsidRPr="005113BC">
        <w:t xml:space="preserve">uzskaitēs primārā metode ir pieaugušo indivīdu (imago) uzskaite, kas aprakstīta šajā metodikā. </w:t>
      </w:r>
    </w:p>
    <w:p w14:paraId="5528B8C5" w14:textId="164543D9" w:rsidR="001A669E" w:rsidRPr="005113BC" w:rsidRDefault="001A669E" w:rsidP="00C70C06">
      <w:pPr>
        <w:jc w:val="both"/>
      </w:pPr>
    </w:p>
    <w:p w14:paraId="796F995D" w14:textId="5B7BDEE1" w:rsidR="00A60433" w:rsidRPr="005113BC" w:rsidRDefault="00B657C5" w:rsidP="001A669E">
      <w:pPr>
        <w:jc w:val="both"/>
      </w:pPr>
      <w:r w:rsidRPr="005113BC">
        <w:t>Uzskaites vienība ir maršruts, kas var būt iedalīts posmos atkarībā no biotopa</w:t>
      </w:r>
      <w:r w:rsidR="00AA4B3E">
        <w:t>,</w:t>
      </w:r>
      <w:r w:rsidRPr="005113BC">
        <w:t xml:space="preserve"> kuru tas šķērso. </w:t>
      </w:r>
      <w:r w:rsidR="00A60433" w:rsidRPr="005113BC">
        <w:t xml:space="preserve">Ekspertam, kas veic </w:t>
      </w:r>
      <w:r w:rsidR="002906C4">
        <w:t>maršruta</w:t>
      </w:r>
      <w:r w:rsidR="002906C4" w:rsidRPr="005113BC">
        <w:t xml:space="preserve"> </w:t>
      </w:r>
      <w:r w:rsidR="00A60433" w:rsidRPr="005113BC">
        <w:t>apsekošanu</w:t>
      </w:r>
      <w:r w:rsidR="002906C4">
        <w:t>, uzreiz</w:t>
      </w:r>
      <w:r w:rsidR="00A60433" w:rsidRPr="005113BC">
        <w:t xml:space="preserve"> pēc tā kamerālās  ierīkošanas</w:t>
      </w:r>
      <w:r w:rsidR="002906C4">
        <w:t>,</w:t>
      </w:r>
      <w:r w:rsidR="00A60433" w:rsidRPr="005113BC">
        <w:t xml:space="preserve"> precizē tā sākuma un beigu koordinātes, kā arī piefiksē GPS uztvērējā </w:t>
      </w:r>
      <w:r w:rsidR="002906C4">
        <w:t>maršruta</w:t>
      </w:r>
      <w:r w:rsidR="00A60433" w:rsidRPr="005113BC">
        <w:t xml:space="preserve"> posmus. Tos eksperts izvēlas, balstoties uz teritorijā vizuāli nodalāmiem biotopiem, parasti vairāk vai mazāk nodalītiem atklātiem biotopiem. Arī viendabīgu, taču lielu biotopu var dalīt posmos.</w:t>
      </w:r>
    </w:p>
    <w:p w14:paraId="5006C0B6" w14:textId="4DB83192" w:rsidR="0068784D" w:rsidRPr="005113BC" w:rsidRDefault="001A669E" w:rsidP="001A669E">
      <w:pPr>
        <w:jc w:val="both"/>
      </w:pPr>
      <w:r w:rsidRPr="005113BC">
        <w:t xml:space="preserve">Veicot uzskaiti eksperts pārvietojas pa maršrutu, uzskaitot dienas tauriņus. Tauriņi tiek uzskatīti </w:t>
      </w:r>
      <w:r w:rsidR="0068784D" w:rsidRPr="005113BC">
        <w:t>transektē, kuras platums</w:t>
      </w:r>
      <w:r w:rsidRPr="005113BC">
        <w:t xml:space="preserve">  ir 2,5 m uz abām pusēm, 2,5 m uz augšu un 2,5 m uz priekšu. Pārvietošanās ātrums ir brīvs, taču ir lielāks monitorējot labi ieraugāmas sugas – zirgskābeņu zilenīti un ošu pļavraibeni, bet lēnāks</w:t>
      </w:r>
      <w:r w:rsidR="0068784D" w:rsidRPr="005113BC">
        <w:t xml:space="preserve"> uzskaitot</w:t>
      </w:r>
      <w:r w:rsidRPr="005113BC">
        <w:t xml:space="preserve"> – skabiozu pļavraibeni un brūnvālīšu zilenīti. Ja monitoringa </w:t>
      </w:r>
      <w:r w:rsidR="00DF1231">
        <w:t>maršrutu</w:t>
      </w:r>
      <w:r w:rsidRPr="005113BC">
        <w:t xml:space="preserve"> pārklāj mākoņa ēna, tad tauriņi parasti apsēžas un t</w:t>
      </w:r>
      <w:r w:rsidR="0068784D" w:rsidRPr="005113BC">
        <w:t>ie ir grūtāk pamanāmi</w:t>
      </w:r>
      <w:r w:rsidRPr="005113BC">
        <w:t xml:space="preserve">, tad </w:t>
      </w:r>
      <w:r w:rsidR="0068784D" w:rsidRPr="005113BC">
        <w:t>ir jā</w:t>
      </w:r>
      <w:r w:rsidRPr="005113BC">
        <w:t>samazina ātrum</w:t>
      </w:r>
      <w:r w:rsidR="0068784D" w:rsidRPr="005113BC">
        <w:t>s</w:t>
      </w:r>
      <w:r w:rsidRPr="005113BC">
        <w:t xml:space="preserve">. </w:t>
      </w:r>
    </w:p>
    <w:p w14:paraId="393A9109" w14:textId="77777777" w:rsidR="00B657C5" w:rsidRPr="005113BC" w:rsidRDefault="00B657C5" w:rsidP="001A669E">
      <w:pPr>
        <w:jc w:val="both"/>
      </w:pPr>
    </w:p>
    <w:p w14:paraId="0D884A0D" w14:textId="2E649DB9" w:rsidR="001A669E" w:rsidRPr="005113BC" w:rsidRDefault="001A669E" w:rsidP="001A669E">
      <w:pPr>
        <w:jc w:val="both"/>
      </w:pPr>
      <w:r w:rsidRPr="005113BC">
        <w:t>Lauka datu formā</w:t>
      </w:r>
      <w:r w:rsidR="00B657C5" w:rsidRPr="005113BC">
        <w:t xml:space="preserve"> reģistrē</w:t>
      </w:r>
      <w:r w:rsidRPr="005113BC">
        <w:t xml:space="preserve"> katrā novērojumu </w:t>
      </w:r>
      <w:r w:rsidR="00DF1231">
        <w:t>maršruta</w:t>
      </w:r>
      <w:r w:rsidRPr="005113BC">
        <w:t xml:space="preserve"> posmā redzēto tauriņu skaitu. Tauriņu </w:t>
      </w:r>
      <w:r w:rsidR="00B657C5" w:rsidRPr="005113BC">
        <w:t>īpatņi vislabāk</w:t>
      </w:r>
      <w:r w:rsidRPr="005113BC">
        <w:t xml:space="preserve"> ir </w:t>
      </w:r>
      <w:r w:rsidR="00B657C5" w:rsidRPr="005113BC">
        <w:t>nosakāmi</w:t>
      </w:r>
      <w:r w:rsidRPr="005113BC">
        <w:t xml:space="preserve"> baro</w:t>
      </w:r>
      <w:r w:rsidR="00B657C5" w:rsidRPr="005113BC">
        <w:t>šanās laikā</w:t>
      </w:r>
      <w:r w:rsidRPr="005113BC">
        <w:t xml:space="preserve"> uz ziediem. T</w:t>
      </w:r>
      <w:r w:rsidR="00B657C5" w:rsidRPr="005113BC">
        <w:t>os var</w:t>
      </w:r>
      <w:r w:rsidRPr="005113BC">
        <w:t xml:space="preserve"> </w:t>
      </w:r>
      <w:r w:rsidR="00B657C5" w:rsidRPr="005113BC">
        <w:t>noteikt</w:t>
      </w:r>
      <w:r w:rsidRPr="005113BC">
        <w:t xml:space="preserve"> arī lidojumā, tomēr </w:t>
      </w:r>
      <w:r w:rsidRPr="005113BC">
        <w:lastRenderedPageBreak/>
        <w:t>labāk pagaidīt līdz tauriņš apsēžas. Šaubu gadījumā tauriņu noķer ar entomoloģisko tīkliņu, pārbauda sugas noteikšanas pareizību un tad atlaiž.</w:t>
      </w:r>
    </w:p>
    <w:p w14:paraId="031A597F" w14:textId="24E8199B" w:rsidR="00DA0B9C" w:rsidRPr="005113BC" w:rsidRDefault="00DA0B9C" w:rsidP="001A669E">
      <w:pPr>
        <w:jc w:val="both"/>
      </w:pPr>
    </w:p>
    <w:p w14:paraId="17475587" w14:textId="54EE1C65" w:rsidR="00DA0B9C" w:rsidRPr="005113BC" w:rsidRDefault="00DA0B9C" w:rsidP="00EF5967">
      <w:pPr>
        <w:jc w:val="both"/>
        <w:rPr>
          <w:highlight w:val="yellow"/>
        </w:rPr>
      </w:pPr>
      <w:r w:rsidRPr="005113BC">
        <w:t>Monitoringa veikšanas laikā ir jāveic arī apsekoto biotopu kvalitātes novērtējums. To novērtē pēc vairākiem rādītājiem – ziedošo augu klātbūtnes, barības auga klātbūtnes, aizaugšanas, ganīšanas un pļaušanas intensitātes, ko izsaka ballēs (</w:t>
      </w:r>
      <w:r w:rsidR="00685D48">
        <w:t xml:space="preserve">atbilstoši norādēm monitoringa anketā </w:t>
      </w:r>
      <w:r w:rsidRPr="005113BC">
        <w:t>). Balles piešķir tā, ka mazāk piemēroti biotopi saņem mazāk baļļu, piemērotāki – vairāk. Novērtējuma rezultāti tiek fiksēti lauka darbu anketā.</w:t>
      </w:r>
    </w:p>
    <w:p w14:paraId="1DF842DE" w14:textId="77777777" w:rsidR="00B657C5" w:rsidRPr="005113BC" w:rsidRDefault="00B657C5" w:rsidP="00FB2DFF">
      <w:pPr>
        <w:jc w:val="both"/>
      </w:pPr>
    </w:p>
    <w:p w14:paraId="408D8846" w14:textId="7BBB1F79" w:rsidR="001A669E" w:rsidRPr="005113BC" w:rsidRDefault="00B657C5" w:rsidP="00B657C5">
      <w:pPr>
        <w:jc w:val="both"/>
      </w:pPr>
      <w:r w:rsidRPr="005113BC">
        <w:t xml:space="preserve">Veicot tauriņu reģistrēšanu ir </w:t>
      </w:r>
      <w:r w:rsidR="001A669E" w:rsidRPr="005113BC">
        <w:t xml:space="preserve">jānovērtē, cik īpatņi ir „svaigi”. </w:t>
      </w:r>
      <w:r w:rsidR="00527664">
        <w:t>Ī</w:t>
      </w:r>
      <w:r w:rsidR="001A669E" w:rsidRPr="005113BC">
        <w:t>patņiem</w:t>
      </w:r>
      <w:r w:rsidR="00527664">
        <w:t>, kas ir</w:t>
      </w:r>
      <w:r w:rsidR="001A669E" w:rsidRPr="005113BC">
        <w:t xml:space="preserve"> </w:t>
      </w:r>
      <w:r w:rsidR="00527664">
        <w:t>n</w:t>
      </w:r>
      <w:r w:rsidR="00527664" w:rsidRPr="005113BC">
        <w:t xml:space="preserve">esen izkūņojušies </w:t>
      </w:r>
      <w:r w:rsidR="001A669E" w:rsidRPr="005113BC">
        <w:t>ir spilgts krāsojums, zvīņas nav notrauktas. Savukārt</w:t>
      </w:r>
      <w:r w:rsidR="00AA4B3E">
        <w:t>,</w:t>
      </w:r>
      <w:r w:rsidR="001A669E" w:rsidRPr="005113BC">
        <w:t xml:space="preserve"> sen izkūņojušies īpatņi var būt ar bālu krāsojumu, notrauktām zvīņām, robiem spārnu malās. </w:t>
      </w:r>
      <w:r w:rsidR="00527664">
        <w:t>Šī informācija</w:t>
      </w:r>
      <w:r w:rsidR="001A669E" w:rsidRPr="005113BC">
        <w:t xml:space="preserve"> nepieciešam</w:t>
      </w:r>
      <w:r w:rsidR="00527664">
        <w:t>a</w:t>
      </w:r>
      <w:r w:rsidR="001A669E" w:rsidRPr="005113BC">
        <w:t xml:space="preserve"> datu interpretācijai</w:t>
      </w:r>
      <w:r w:rsidR="00483943" w:rsidRPr="005113BC">
        <w:t xml:space="preserve"> un šo informāciju ieraksta piezīmju sadaļā.</w:t>
      </w:r>
    </w:p>
    <w:p w14:paraId="30160522" w14:textId="77777777" w:rsidR="00FB2DFF" w:rsidRPr="005113BC" w:rsidRDefault="00FB2DFF" w:rsidP="00483943">
      <w:pPr>
        <w:jc w:val="both"/>
      </w:pPr>
    </w:p>
    <w:p w14:paraId="10B1BE13" w14:textId="7DF82D32" w:rsidR="001A669E" w:rsidRPr="005113BC" w:rsidRDefault="00483943" w:rsidP="00483943">
      <w:pPr>
        <w:jc w:val="both"/>
      </w:pPr>
      <w:r w:rsidRPr="005113BC">
        <w:t>Pārvietojoties ārpus uzskaites vienības pa</w:t>
      </w:r>
      <w:r w:rsidR="001A669E" w:rsidRPr="005113BC">
        <w:t xml:space="preserve"> apsekojamo </w:t>
      </w:r>
      <w:r w:rsidR="001A669E" w:rsidRPr="00DF7F2A">
        <w:t>Natura</w:t>
      </w:r>
      <w:r w:rsidRPr="00DF7F2A">
        <w:t xml:space="preserve"> 2000</w:t>
      </w:r>
      <w:r w:rsidR="001A669E" w:rsidRPr="005113BC">
        <w:t xml:space="preserve"> teritoriju novēro, vai nav manāms kāds no mērķsugas īpatņiem ārpus novērojum</w:t>
      </w:r>
      <w:r w:rsidR="00527664">
        <w:t>u maršruta</w:t>
      </w:r>
      <w:r w:rsidR="001A669E" w:rsidRPr="005113BC">
        <w:t xml:space="preserve">. Ja ir, tad atzīmē </w:t>
      </w:r>
      <w:r w:rsidRPr="005113BC">
        <w:t xml:space="preserve">anketas piezīmēs ar īpatņa </w:t>
      </w:r>
      <w:r w:rsidR="001A669E" w:rsidRPr="005113BC">
        <w:t>atrašanās koordināt</w:t>
      </w:r>
      <w:r w:rsidRPr="005113BC">
        <w:t>ēm</w:t>
      </w:r>
      <w:r w:rsidR="001A669E" w:rsidRPr="005113BC">
        <w:t>.</w:t>
      </w:r>
    </w:p>
    <w:p w14:paraId="1216A76B" w14:textId="77777777" w:rsidR="00483943" w:rsidRPr="005113BC" w:rsidRDefault="00483943" w:rsidP="00483943">
      <w:pPr>
        <w:jc w:val="both"/>
      </w:pPr>
    </w:p>
    <w:p w14:paraId="35808D52" w14:textId="0FD8A1DF" w:rsidR="007723BF" w:rsidRPr="005113BC" w:rsidRDefault="00AA6BF3" w:rsidP="00AA6BF3">
      <w:pPr>
        <w:jc w:val="both"/>
      </w:pPr>
      <w:r w:rsidRPr="005113BC">
        <w:t>Gadījumā, jā vienā teritorijā ir jāmonitorē vairākas sugas</w:t>
      </w:r>
      <w:r w:rsidR="00527664">
        <w:t>,</w:t>
      </w:r>
      <w:r w:rsidRPr="005113BC">
        <w:t xml:space="preserve"> un tām piemērotie optimālie biotopi un uzskaišu periodi pārklājas, uzskaite jāveic vienlaicīgi vairākām sugām. Piemēram</w:t>
      </w:r>
      <w:r w:rsidR="00AA4B3E">
        <w:t>,</w:t>
      </w:r>
      <w:r w:rsidRPr="005113BC">
        <w:t xml:space="preserve"> atbilstoši tauriņu lidošanas fenoloģijai</w:t>
      </w:r>
      <w:r w:rsidR="001A669E" w:rsidRPr="005113BC">
        <w:t xml:space="preserve"> vienlaicīgi </w:t>
      </w:r>
      <w:r w:rsidRPr="005113BC">
        <w:t xml:space="preserve">var </w:t>
      </w:r>
      <w:r w:rsidR="001A669E" w:rsidRPr="005113BC">
        <w:t>monitorēt brūnvālīšu zilenīti, skabiozu pļavraibeni un zirgskābeņu zilenīti, savukārt ošu pļavraibeni</w:t>
      </w:r>
      <w:r w:rsidRPr="005113BC">
        <w:t xml:space="preserve"> var uzskaitīt kopā ar </w:t>
      </w:r>
      <w:r w:rsidR="001A669E" w:rsidRPr="005113BC">
        <w:t>lapkoku samteni</w:t>
      </w:r>
      <w:r w:rsidR="000B603C" w:rsidRPr="005113BC">
        <w:t>.</w:t>
      </w:r>
    </w:p>
    <w:p w14:paraId="421C2606" w14:textId="4CEB876D" w:rsidR="000B603C" w:rsidRPr="005113BC" w:rsidRDefault="000B603C" w:rsidP="00AA6BF3">
      <w:pPr>
        <w:jc w:val="both"/>
      </w:pPr>
    </w:p>
    <w:p w14:paraId="7C6B9429" w14:textId="34EAE0E2" w:rsidR="000B603C" w:rsidRPr="005113BC" w:rsidRDefault="007A36A7" w:rsidP="000B603C">
      <w:pPr>
        <w:jc w:val="both"/>
      </w:pPr>
      <w:r w:rsidRPr="005113BC">
        <w:rPr>
          <w:b/>
          <w:iCs/>
        </w:rPr>
        <w:t xml:space="preserve">Cīrulīšu dižtauriņa </w:t>
      </w:r>
      <w:r w:rsidRPr="005113BC">
        <w:rPr>
          <w:b/>
          <w:i/>
          <w:iCs/>
        </w:rPr>
        <w:t>Parnassius mnemosyne</w:t>
      </w:r>
      <w:r w:rsidRPr="005113BC">
        <w:rPr>
          <w:iCs/>
        </w:rPr>
        <w:t xml:space="preserve"> monitorings sugas specifikas dēļ ir veicams atsevišķi no pārējām dienas tauriņu sugām. Cīrulīšu dižtauriņš </w:t>
      </w:r>
      <w:r w:rsidR="000B603C" w:rsidRPr="005113BC">
        <w:rPr>
          <w:iCs/>
        </w:rPr>
        <w:t xml:space="preserve">ir </w:t>
      </w:r>
      <w:r w:rsidR="000B603C" w:rsidRPr="005113BC">
        <w:t xml:space="preserve">tipiska ekotona suga, taču var aizlidot attālāk no mežmalas. Olas dēj uz meža uz cīrulīšiem </w:t>
      </w:r>
      <w:r w:rsidR="000B603C" w:rsidRPr="005113BC">
        <w:rPr>
          <w:i/>
          <w:iCs/>
        </w:rPr>
        <w:t>Corydalis</w:t>
      </w:r>
      <w:r w:rsidR="000B603C" w:rsidRPr="005113BC">
        <w:t xml:space="preserve"> spp., imago uzturas š</w:t>
      </w:r>
      <w:r w:rsidR="00527664">
        <w:t>im augam piemērotu</w:t>
      </w:r>
      <w:r w:rsidR="000B603C" w:rsidRPr="005113BC">
        <w:t xml:space="preserve"> biotopu tuvumā. Cīrulišiem raksturīgs biotops ir lapkoku meži upju ielejās gan palienes mežos, gar nogāžu mežos.</w:t>
      </w:r>
      <w:r w:rsidR="000B603C" w:rsidRPr="005113BC">
        <w:rPr>
          <w:iCs/>
        </w:rPr>
        <w:t xml:space="preserve"> Cīrulīšu dižtauriņš ir </w:t>
      </w:r>
      <w:r w:rsidR="000B603C" w:rsidRPr="005113BC">
        <w:t>liels tauriņš, ko var novērot no liela attāluma. Pēc lidojuma tas viegli atšķirams no balteņiem</w:t>
      </w:r>
      <w:r w:rsidRPr="005113BC">
        <w:t xml:space="preserve"> (Meier et al. 2005, Bergman 2006)</w:t>
      </w:r>
      <w:r w:rsidR="000B603C" w:rsidRPr="005113BC">
        <w:t>. Līdz šim transektes platums bija noteikts 5 m t.i. 2,5 m uz katru pusi, šāda transekte lielam tauriņam ir par šauru, tāpēc veicot šīs sugas uzskaiti transektes platumam jābūt 20 m platam t.i. 10 m uz katru pusi. Izmantojot šo metodi var iegūt precīzākus datus par populācijas lielumu.</w:t>
      </w:r>
      <w:r w:rsidR="000B603C" w:rsidRPr="005113BC">
        <w:rPr>
          <w:iCs/>
        </w:rPr>
        <w:t xml:space="preserve"> </w:t>
      </w:r>
      <w:r w:rsidR="000B603C" w:rsidRPr="005113BC">
        <w:t>Transektes cīrulīšu dižtauriņam ir  jāizvieto</w:t>
      </w:r>
      <w:r w:rsidRPr="005113BC">
        <w:t xml:space="preserve"> zināmās atradnēs, ko nosaka kamerāli.</w:t>
      </w:r>
    </w:p>
    <w:p w14:paraId="1FF163E6" w14:textId="0A9242C7" w:rsidR="006E6880" w:rsidRPr="005113BC" w:rsidRDefault="006E6880" w:rsidP="000B603C">
      <w:pPr>
        <w:jc w:val="both"/>
        <w:rPr>
          <w:iCs/>
        </w:rPr>
      </w:pPr>
    </w:p>
    <w:p w14:paraId="437B0E5E" w14:textId="7D4E5388" w:rsidR="006E6880" w:rsidRPr="005113BC" w:rsidRDefault="006E6880" w:rsidP="00FA66DF">
      <w:pPr>
        <w:jc w:val="both"/>
      </w:pPr>
      <w:r w:rsidRPr="005113BC">
        <w:rPr>
          <w:b/>
        </w:rPr>
        <w:t xml:space="preserve">Zobspārnu sfings </w:t>
      </w:r>
      <w:r w:rsidRPr="005113BC">
        <w:rPr>
          <w:b/>
          <w:i/>
        </w:rPr>
        <w:t>Proserpinus proserpina</w:t>
      </w:r>
      <w:r w:rsidRPr="005113BC">
        <w:t xml:space="preserve"> Latvijā konstatēts galvenokārt </w:t>
      </w:r>
      <w:r w:rsidR="00AA4B3E">
        <w:t>d</w:t>
      </w:r>
      <w:r w:rsidR="00AA4B3E" w:rsidRPr="005113BC">
        <w:t xml:space="preserve">ienvidaustrumu </w:t>
      </w:r>
      <w:r w:rsidR="00AA4B3E">
        <w:t>a</w:t>
      </w:r>
      <w:r w:rsidR="00AA4B3E" w:rsidRPr="005113BC">
        <w:t xml:space="preserve">ustrumu </w:t>
      </w:r>
      <w:r w:rsidRPr="005113BC">
        <w:t>daļā. Tauriņš lido arī dienā. Naktstauriņu uzskaites ar gaismas lamatām ir izmantojamas</w:t>
      </w:r>
      <w:r w:rsidR="00A665BF">
        <w:t xml:space="preserve"> naktstauriņu</w:t>
      </w:r>
      <w:r w:rsidRPr="005113BC">
        <w:t xml:space="preserve"> sugu daudzveidības noteikšanā, bet ļoti grūti izmantojamas populācijas lieluma noteikšanai. Līdz šim nevienā gaismošanas reizē, Latvijā, suga netika konstatēta. </w:t>
      </w:r>
    </w:p>
    <w:p w14:paraId="63E65B24" w14:textId="77777777" w:rsidR="006E6880" w:rsidRPr="005113BC" w:rsidRDefault="006E6880" w:rsidP="00FA66DF">
      <w:pPr>
        <w:jc w:val="both"/>
      </w:pPr>
      <w:r w:rsidRPr="005113BC">
        <w:t xml:space="preserve">Zobspārnu sfinga uzskaitēm var piemērot kāpuru uzskaiti uz naktssveces </w:t>
      </w:r>
      <w:r w:rsidRPr="005113BC">
        <w:rPr>
          <w:i/>
          <w:iCs/>
        </w:rPr>
        <w:t>Oenothera biennis</w:t>
      </w:r>
      <w:r w:rsidRPr="005113BC">
        <w:t xml:space="preserve">. </w:t>
      </w:r>
    </w:p>
    <w:p w14:paraId="3B4D7472" w14:textId="40E77DF8" w:rsidR="00296256" w:rsidRPr="005113BC" w:rsidRDefault="006E6880" w:rsidP="00FA66DF">
      <w:pPr>
        <w:jc w:val="both"/>
      </w:pPr>
      <w:r w:rsidRPr="005113BC">
        <w:t>Augs ir divgadīgs un parasti aug traucētos zālājos (ceļmalās, stigās, atmatās u</w:t>
      </w:r>
      <w:r w:rsidR="00AA4B3E">
        <w:t>.</w:t>
      </w:r>
      <w:r w:rsidRPr="005113BC">
        <w:t>tml.). Sfinga kāpuri barojas arī ar kazrozēm (</w:t>
      </w:r>
      <w:r w:rsidRPr="005113BC">
        <w:rPr>
          <w:i/>
          <w:iCs/>
        </w:rPr>
        <w:t>Epilobium</w:t>
      </w:r>
      <w:r w:rsidRPr="005113BC">
        <w:t xml:space="preserve"> spp.), taču tās aug slapjās vietās un tāpēc grūti apsekojamas. Tāpēc galvenā </w:t>
      </w:r>
      <w:r w:rsidR="00296256" w:rsidRPr="005113BC">
        <w:t>uzmanība ir</w:t>
      </w:r>
      <w:r w:rsidRPr="005113BC">
        <w:t xml:space="preserve"> vērsta uz naktssvecēm.</w:t>
      </w:r>
    </w:p>
    <w:p w14:paraId="24072E91" w14:textId="3543D350" w:rsidR="00296256" w:rsidRDefault="00296256" w:rsidP="00FA66DF">
      <w:pPr>
        <w:jc w:val="both"/>
      </w:pPr>
      <w:r w:rsidRPr="005113BC">
        <w:t xml:space="preserve">Zobspārnu sfingam piemērotos kāpuru attīstības biotopus var apsekot poligonu veidā, kur jāveic naktssveču vizuālo pārbaudi, </w:t>
      </w:r>
      <w:r w:rsidR="006E6880" w:rsidRPr="005113BC">
        <w:t xml:space="preserve">ar mērķi atrast sfingu kāpurus. </w:t>
      </w:r>
      <w:r w:rsidRPr="005113BC">
        <w:t>Ņemot vērā sarežģītu naktsveču sastopamības</w:t>
      </w:r>
      <w:r w:rsidR="00FA66DF" w:rsidRPr="005113BC">
        <w:t xml:space="preserve"> prognozēšanu, ir apgrūtināta poligonu atlase zobspārnu sfinga uzskaitei.</w:t>
      </w:r>
      <w:r w:rsidRPr="005113BC">
        <w:t xml:space="preserve"> </w:t>
      </w:r>
    </w:p>
    <w:p w14:paraId="060E75AA" w14:textId="73C4A6D0" w:rsidR="00F846A9" w:rsidRDefault="00F846A9" w:rsidP="00FA66DF">
      <w:pPr>
        <w:jc w:val="both"/>
      </w:pPr>
    </w:p>
    <w:p w14:paraId="5A407245" w14:textId="77777777" w:rsidR="00F846A9" w:rsidRPr="005113BC" w:rsidRDefault="00F846A9" w:rsidP="00FA66DF">
      <w:pPr>
        <w:jc w:val="both"/>
      </w:pPr>
    </w:p>
    <w:p w14:paraId="7BED7821" w14:textId="3DE646DB" w:rsidR="007723BF" w:rsidRPr="005113BC" w:rsidRDefault="007723BF" w:rsidP="007A36A7"/>
    <w:p w14:paraId="0580BE35" w14:textId="29002029" w:rsidR="00324EF1" w:rsidRPr="00F846A9" w:rsidRDefault="00F846A9" w:rsidP="00F846A9">
      <w:pPr>
        <w:rPr>
          <w:b/>
          <w:color w:val="0070C0"/>
        </w:rPr>
      </w:pPr>
      <w:r>
        <w:rPr>
          <w:b/>
          <w:color w:val="0070C0"/>
        </w:rPr>
        <w:lastRenderedPageBreak/>
        <w:t xml:space="preserve">8. </w:t>
      </w:r>
      <w:r w:rsidR="00324EF1" w:rsidRPr="00F846A9">
        <w:rPr>
          <w:b/>
          <w:color w:val="0070C0"/>
        </w:rPr>
        <w:t xml:space="preserve"> Monitoringa uzskaišu lauka novērojumu anketa</w:t>
      </w:r>
    </w:p>
    <w:p w14:paraId="370D9EBE" w14:textId="77777777" w:rsidR="00324EF1" w:rsidRPr="005113BC" w:rsidRDefault="00324EF1" w:rsidP="00324EF1">
      <w:pPr>
        <w:ind w:firstLine="567"/>
        <w:rPr>
          <w:b/>
        </w:rPr>
      </w:pPr>
    </w:p>
    <w:p w14:paraId="54D97DFF" w14:textId="2957B0A1" w:rsidR="008D3D9C" w:rsidRPr="005113BC" w:rsidRDefault="00324EF1" w:rsidP="008D3D9C">
      <w:pPr>
        <w:jc w:val="both"/>
      </w:pPr>
      <w:r w:rsidRPr="005113BC">
        <w:t xml:space="preserve">Par katru apsekoto </w:t>
      </w:r>
      <w:r w:rsidR="008D3D9C" w:rsidRPr="005113BC">
        <w:t>maršrutu</w:t>
      </w:r>
      <w:r w:rsidRPr="005113BC">
        <w:t xml:space="preserve"> aizpilda</w:t>
      </w:r>
      <w:r w:rsidR="008D3D9C" w:rsidRPr="005113BC">
        <w:t xml:space="preserve"> monitoringa</w:t>
      </w:r>
      <w:r w:rsidRPr="005113BC">
        <w:t xml:space="preserve"> anketu (</w:t>
      </w:r>
      <w:r w:rsidR="008D3D9C" w:rsidRPr="005113BC">
        <w:t xml:space="preserve">dienas tauriņu monitoringa metodikas </w:t>
      </w:r>
      <w:r w:rsidR="005D2773">
        <w:t>3</w:t>
      </w:r>
      <w:r w:rsidRPr="005113BC">
        <w:t>.</w:t>
      </w:r>
      <w:r w:rsidRPr="00A665BF">
        <w:t>pielikums</w:t>
      </w:r>
      <w:r w:rsidRPr="005113BC">
        <w:t>).</w:t>
      </w:r>
    </w:p>
    <w:p w14:paraId="0A21C730" w14:textId="08D21EC2" w:rsidR="008D3D9C" w:rsidRPr="005113BC" w:rsidRDefault="008D3D9C" w:rsidP="008D3D9C">
      <w:pPr>
        <w:jc w:val="both"/>
      </w:pPr>
      <w:r w:rsidRPr="005113BC">
        <w:t>Anketas vispārīgo datu sadaļā tiek norād</w:t>
      </w:r>
      <w:r w:rsidR="00AA4B3E">
        <w:t>ī</w:t>
      </w:r>
      <w:r w:rsidRPr="005113BC">
        <w:t>ts:</w:t>
      </w:r>
    </w:p>
    <w:p w14:paraId="670B911F" w14:textId="72A2F86C" w:rsidR="008D3D9C" w:rsidRPr="005113BC" w:rsidRDefault="008D3D9C" w:rsidP="008D3D9C">
      <w:pPr>
        <w:pStyle w:val="ListParagraph"/>
        <w:numPr>
          <w:ilvl w:val="0"/>
          <w:numId w:val="17"/>
        </w:numPr>
        <w:jc w:val="both"/>
      </w:pPr>
      <w:r w:rsidRPr="005113BC">
        <w:t>kāda suga/vai vairākas sugas tiek monitorētas;</w:t>
      </w:r>
    </w:p>
    <w:p w14:paraId="71214D5A" w14:textId="1F076C72" w:rsidR="008D3D9C" w:rsidRPr="005113BC" w:rsidRDefault="00BF6FDD" w:rsidP="008D3D9C">
      <w:pPr>
        <w:pStyle w:val="ListParagraph"/>
        <w:numPr>
          <w:ilvl w:val="0"/>
          <w:numId w:val="17"/>
        </w:numPr>
        <w:jc w:val="both"/>
        <w:rPr>
          <w:i/>
        </w:rPr>
      </w:pPr>
      <w:r w:rsidRPr="00DF7F2A">
        <w:t>Natura 2000</w:t>
      </w:r>
      <w:r w:rsidRPr="005113BC">
        <w:rPr>
          <w:i/>
        </w:rPr>
        <w:t xml:space="preserve"> </w:t>
      </w:r>
      <w:r w:rsidRPr="005113BC">
        <w:t>teritorijas nosaukums;</w:t>
      </w:r>
    </w:p>
    <w:p w14:paraId="7AD81452" w14:textId="7FF2B3BE" w:rsidR="00BF6FDD" w:rsidRPr="005113BC" w:rsidRDefault="00A665BF" w:rsidP="008D3D9C">
      <w:pPr>
        <w:pStyle w:val="ListParagraph"/>
        <w:numPr>
          <w:ilvl w:val="0"/>
          <w:numId w:val="17"/>
        </w:numPr>
        <w:jc w:val="both"/>
      </w:pPr>
      <w:r>
        <w:t>e</w:t>
      </w:r>
      <w:r w:rsidR="00BF6FDD" w:rsidRPr="005113BC">
        <w:t>ksperta vārds uzvārds;</w:t>
      </w:r>
    </w:p>
    <w:p w14:paraId="5FEA1536" w14:textId="1CE673DD" w:rsidR="00BF6FDD" w:rsidRPr="005113BC" w:rsidRDefault="00A665BF" w:rsidP="008D3D9C">
      <w:pPr>
        <w:pStyle w:val="ListParagraph"/>
        <w:numPr>
          <w:ilvl w:val="0"/>
          <w:numId w:val="17"/>
        </w:numPr>
        <w:jc w:val="both"/>
      </w:pPr>
      <w:r>
        <w:t>u</w:t>
      </w:r>
      <w:r w:rsidR="00BF6FDD" w:rsidRPr="005113BC">
        <w:t>zskaites datums;</w:t>
      </w:r>
    </w:p>
    <w:p w14:paraId="21E9F141" w14:textId="4FF7B83B" w:rsidR="00BF6FDD" w:rsidRPr="005113BC" w:rsidRDefault="00A665BF" w:rsidP="008D3D9C">
      <w:pPr>
        <w:pStyle w:val="ListParagraph"/>
        <w:numPr>
          <w:ilvl w:val="0"/>
          <w:numId w:val="17"/>
        </w:numPr>
        <w:jc w:val="both"/>
      </w:pPr>
      <w:r>
        <w:t>u</w:t>
      </w:r>
      <w:r w:rsidR="00BF6FDD" w:rsidRPr="005113BC">
        <w:t>zskaites laiks, norādo</w:t>
      </w:r>
      <w:r w:rsidR="00AA4B3E">
        <w:t>t</w:t>
      </w:r>
      <w:r w:rsidR="00BF6FDD" w:rsidRPr="005113BC">
        <w:t xml:space="preserve"> to uzskaites sākumā un beigās;</w:t>
      </w:r>
    </w:p>
    <w:p w14:paraId="07892F2B" w14:textId="6D638C31" w:rsidR="00BF6FDD" w:rsidRPr="005113BC" w:rsidRDefault="00A665BF" w:rsidP="008D3D9C">
      <w:pPr>
        <w:pStyle w:val="ListParagraph"/>
        <w:numPr>
          <w:ilvl w:val="0"/>
          <w:numId w:val="17"/>
        </w:numPr>
        <w:jc w:val="both"/>
      </w:pPr>
      <w:r>
        <w:t>g</w:t>
      </w:r>
      <w:r w:rsidR="00BF6FDD" w:rsidRPr="005113BC">
        <w:t>aisa temperatūra</w:t>
      </w:r>
      <w:r>
        <w:t>,</w:t>
      </w:r>
      <w:r w:rsidR="00BF6FDD" w:rsidRPr="005113BC">
        <w:t xml:space="preserve"> Celsija grādos;</w:t>
      </w:r>
    </w:p>
    <w:p w14:paraId="534622C2" w14:textId="1F062F0F" w:rsidR="00BF6FDD" w:rsidRPr="005113BC" w:rsidRDefault="00A665BF" w:rsidP="008D3D9C">
      <w:pPr>
        <w:pStyle w:val="ListParagraph"/>
        <w:numPr>
          <w:ilvl w:val="0"/>
          <w:numId w:val="17"/>
        </w:numPr>
        <w:jc w:val="both"/>
      </w:pPr>
      <w:r>
        <w:t>v</w:t>
      </w:r>
      <w:r w:rsidR="00BF6FDD" w:rsidRPr="005113BC">
        <w:t>ējš ballēs, pēc Boforta skalas;</w:t>
      </w:r>
    </w:p>
    <w:p w14:paraId="641D1ADA" w14:textId="4B4824A5" w:rsidR="00BF6FDD" w:rsidRPr="005113BC" w:rsidRDefault="00A665BF" w:rsidP="008D3D9C">
      <w:pPr>
        <w:pStyle w:val="ListParagraph"/>
        <w:numPr>
          <w:ilvl w:val="0"/>
          <w:numId w:val="17"/>
        </w:numPr>
        <w:jc w:val="both"/>
      </w:pPr>
      <w:r>
        <w:t>n</w:t>
      </w:r>
      <w:r w:rsidR="00BF6FDD" w:rsidRPr="005113BC">
        <w:t>okrišņi uzskaites dienā jā/nē;</w:t>
      </w:r>
    </w:p>
    <w:p w14:paraId="72F66924" w14:textId="29B2B1BF" w:rsidR="00BF6FDD" w:rsidRPr="005113BC" w:rsidRDefault="00A665BF" w:rsidP="008D3D9C">
      <w:pPr>
        <w:pStyle w:val="ListParagraph"/>
        <w:numPr>
          <w:ilvl w:val="0"/>
          <w:numId w:val="17"/>
        </w:numPr>
        <w:jc w:val="both"/>
      </w:pPr>
      <w:r>
        <w:t>m</w:t>
      </w:r>
      <w:r w:rsidR="00BF6FDD" w:rsidRPr="005113BC">
        <w:t>ākoņainība %;</w:t>
      </w:r>
    </w:p>
    <w:p w14:paraId="2EB4ADDF" w14:textId="4759C421" w:rsidR="00B55A04" w:rsidRPr="005113BC" w:rsidRDefault="00A665BF" w:rsidP="00B55A04">
      <w:pPr>
        <w:pStyle w:val="ListParagraph"/>
        <w:numPr>
          <w:ilvl w:val="0"/>
          <w:numId w:val="17"/>
        </w:numPr>
        <w:jc w:val="both"/>
      </w:pPr>
      <w:r>
        <w:t>v</w:t>
      </w:r>
      <w:r w:rsidR="00BF6FDD" w:rsidRPr="005113BC">
        <w:t xml:space="preserve">ispārīgās piezīmes – tiek norādīta visa papildus </w:t>
      </w:r>
      <w:r w:rsidR="00B55A04" w:rsidRPr="005113BC">
        <w:t>informācija, kas atbilstoši uzskaišu lauka darbu gaitas instrukcijai ir jāreģistrē.</w:t>
      </w:r>
    </w:p>
    <w:p w14:paraId="01B32918" w14:textId="77777777" w:rsidR="00B55A04" w:rsidRPr="005113BC" w:rsidRDefault="00B55A04" w:rsidP="00B55A04">
      <w:pPr>
        <w:jc w:val="both"/>
      </w:pPr>
    </w:p>
    <w:p w14:paraId="0C655602" w14:textId="02377CEC" w:rsidR="00B55A04" w:rsidRPr="005113BC" w:rsidRDefault="00B55A04" w:rsidP="00B55A04">
      <w:pPr>
        <w:jc w:val="both"/>
      </w:pPr>
      <w:r w:rsidRPr="005113BC">
        <w:t>Dzīvotnes novērtējuma sadaļu aizpilda katram transektes posma numuram, ievērojot piedāvāto gradāciju un novērtējot:</w:t>
      </w:r>
    </w:p>
    <w:p w14:paraId="5EB9DDF4" w14:textId="59C5F45D" w:rsidR="00B55A04" w:rsidRPr="005113BC" w:rsidRDefault="00A665BF" w:rsidP="00B55A04">
      <w:pPr>
        <w:pStyle w:val="ListParagraph"/>
        <w:numPr>
          <w:ilvl w:val="0"/>
          <w:numId w:val="18"/>
        </w:numPr>
        <w:jc w:val="both"/>
      </w:pPr>
      <w:r>
        <w:t>z</w:t>
      </w:r>
      <w:r w:rsidR="00B55A04" w:rsidRPr="005113BC">
        <w:t>iedošu augu daudzumu;</w:t>
      </w:r>
    </w:p>
    <w:p w14:paraId="068BD790" w14:textId="1A3C6D7A" w:rsidR="00B55A04" w:rsidRPr="005113BC" w:rsidRDefault="00A665BF" w:rsidP="00B55A04">
      <w:pPr>
        <w:pStyle w:val="ListParagraph"/>
        <w:numPr>
          <w:ilvl w:val="0"/>
          <w:numId w:val="18"/>
        </w:numPr>
        <w:jc w:val="both"/>
      </w:pPr>
      <w:r>
        <w:t>a</w:t>
      </w:r>
      <w:r w:rsidR="00B55A04" w:rsidRPr="005113BC">
        <w:t>izaugšanas intensitāti;</w:t>
      </w:r>
    </w:p>
    <w:p w14:paraId="1B8BDDF6" w14:textId="1B40A50F" w:rsidR="00B55A04" w:rsidRPr="005113BC" w:rsidRDefault="00A665BF" w:rsidP="00B55A04">
      <w:pPr>
        <w:pStyle w:val="ListParagraph"/>
        <w:numPr>
          <w:ilvl w:val="0"/>
          <w:numId w:val="18"/>
        </w:numPr>
        <w:jc w:val="both"/>
      </w:pPr>
      <w:r>
        <w:t>g</w:t>
      </w:r>
      <w:r w:rsidR="00B55A04" w:rsidRPr="005113BC">
        <w:t>anīšanas intensitāti;</w:t>
      </w:r>
    </w:p>
    <w:p w14:paraId="30F31EEB" w14:textId="1A08EBB8" w:rsidR="00B55A04" w:rsidRPr="005113BC" w:rsidRDefault="00A665BF" w:rsidP="00B55A04">
      <w:pPr>
        <w:pStyle w:val="ListParagraph"/>
        <w:numPr>
          <w:ilvl w:val="0"/>
          <w:numId w:val="18"/>
        </w:numPr>
        <w:jc w:val="both"/>
      </w:pPr>
      <w:r>
        <w:t>p</w:t>
      </w:r>
      <w:r w:rsidR="00B55A04" w:rsidRPr="005113BC">
        <w:t>ļaušanas intensitāti;</w:t>
      </w:r>
    </w:p>
    <w:p w14:paraId="56C05543" w14:textId="6347BF51" w:rsidR="00DA0B9C" w:rsidRPr="005113BC" w:rsidRDefault="00A665BF" w:rsidP="00DA0B9C">
      <w:pPr>
        <w:pStyle w:val="ListParagraph"/>
        <w:numPr>
          <w:ilvl w:val="0"/>
          <w:numId w:val="18"/>
        </w:numPr>
        <w:jc w:val="both"/>
      </w:pPr>
      <w:r>
        <w:t>d</w:t>
      </w:r>
      <w:r w:rsidR="00B55A04" w:rsidRPr="005113BC">
        <w:t>zīvotnes kvalitāti.</w:t>
      </w:r>
    </w:p>
    <w:p w14:paraId="3A45532A" w14:textId="009A31B0" w:rsidR="00DA0B9C" w:rsidRPr="005113BC" w:rsidRDefault="00DA0B9C" w:rsidP="00DA0B9C">
      <w:pPr>
        <w:jc w:val="both"/>
      </w:pPr>
      <w:r w:rsidRPr="005113BC">
        <w:t xml:space="preserve">Ziedošus augus novērtē ballēs 1-3: 1 – maz ziedošu augu – uzmetot skatienu </w:t>
      </w:r>
      <w:r w:rsidR="00A665BF">
        <w:t>zālājam</w:t>
      </w:r>
      <w:r w:rsidRPr="005113BC">
        <w:t xml:space="preserve">, var redzēt tikai atsevišķus augus; 2 – daudz ziedošu augu, tie redzami izklaidus visā </w:t>
      </w:r>
      <w:r w:rsidR="00A665BF">
        <w:t>zālājā;</w:t>
      </w:r>
      <w:r w:rsidRPr="005113BC">
        <w:t xml:space="preserve"> 3- </w:t>
      </w:r>
      <w:r w:rsidR="00A665BF">
        <w:t>zālāja</w:t>
      </w:r>
      <w:r w:rsidR="00A665BF" w:rsidRPr="005113BC">
        <w:t xml:space="preserve"> </w:t>
      </w:r>
      <w:r w:rsidRPr="005113BC">
        <w:t>lielākā daļa klāta ar ziedošiem augiem. Tomēr arī tad, ja ir maz ziedošu augu, tauriņi tos var sameklēt. Raksturīgs piemērs ir virzas un madaras, kas var būt sliktāk saskatāmas starp graudzālēm. Bez tam tauriņiem ir arī demonstrācijas uzvedība – sēdēšana augājā ar izplestiem spārniem un gaidot partnera pielidošanu. Tādos uzvedības periodos ziedošo augu daudzumam ir maza nozīme.</w:t>
      </w:r>
    </w:p>
    <w:p w14:paraId="1094346C" w14:textId="77777777" w:rsidR="00DA0B9C" w:rsidRPr="005113BC" w:rsidRDefault="00DA0B9C" w:rsidP="00DA0B9C">
      <w:pPr>
        <w:ind w:firstLine="567"/>
        <w:jc w:val="both"/>
      </w:pPr>
      <w:r w:rsidRPr="005113BC">
        <w:t>Barības auga klātbūtni nosaka ballēs 1-3: 1 – nav novēroti, 2 – atsevišķi augi; 3 – daudz augu. Šis rādītājs varētu vāji darboties attiecībā uz zirgskābeņu zilenīti, bet labi – brūnvālīšu zilenīša gadījumā.</w:t>
      </w:r>
    </w:p>
    <w:p w14:paraId="20ABD5A0" w14:textId="77777777" w:rsidR="00DA0B9C" w:rsidRPr="005113BC" w:rsidRDefault="00DA0B9C" w:rsidP="00DA0B9C">
      <w:pPr>
        <w:ind w:firstLine="567"/>
        <w:jc w:val="both"/>
      </w:pPr>
      <w:r w:rsidRPr="005113BC">
        <w:t xml:space="preserve">Biotopa aizaugšana norāda uz biotopa ilgtspēju un to izsaka ballēs 1-3: 1 – vairāk kā ceturtdaļa biotopa aizaug ar krūmiem un kokiem; 2 – biotopā novēro atsevišķus krūmus vai kokus; 3 – nav aizaugšanas pazīmju. </w:t>
      </w:r>
    </w:p>
    <w:p w14:paraId="7B2F0C0D" w14:textId="77777777" w:rsidR="00DA0B9C" w:rsidRPr="005113BC" w:rsidRDefault="00DA0B9C" w:rsidP="00DA0B9C">
      <w:pPr>
        <w:ind w:firstLine="567"/>
        <w:jc w:val="both"/>
      </w:pPr>
      <w:r w:rsidRPr="005113BC">
        <w:t>Ganīšanas un pļaušanas ietekme norāda uz biotopa ilgtspēju un abus rādītājus nosaka atsevišķi. Abas ietekmes principā parāda vienu un to pašu, bet var arī kombinēties. Ganīšanu izsaka ballēs 1-3: 1 – intensīva ganīšana, 2 – nav ganīšanas; 3 – ekstensīva ganīšana. Pļaušanu izsaka ballēs 1-3: 1 – nav pļaušanas; 2- pļaušana reta, uzkrājusies kūla; 3 – pļaušana ikgadēja, maz kūlas.</w:t>
      </w:r>
    </w:p>
    <w:p w14:paraId="777E1054" w14:textId="77777777" w:rsidR="00DA0B9C" w:rsidRPr="005113BC" w:rsidRDefault="00DA0B9C" w:rsidP="00DA0B9C">
      <w:pPr>
        <w:jc w:val="both"/>
      </w:pPr>
    </w:p>
    <w:p w14:paraId="2A6CB1D0" w14:textId="24DF42DA" w:rsidR="00B55A04" w:rsidRPr="005113BC" w:rsidRDefault="00693A30" w:rsidP="00B55A04">
      <w:pPr>
        <w:jc w:val="both"/>
      </w:pPr>
      <w:r w:rsidRPr="005113BC">
        <w:t>Katrai t</w:t>
      </w:r>
      <w:r w:rsidR="00B55A04" w:rsidRPr="005113BC">
        <w:t>ransekte</w:t>
      </w:r>
      <w:r w:rsidRPr="005113BC">
        <w:t>i pieguļošo biotopu īpatsvaru (100 metru rādiusa) novērtē atbils</w:t>
      </w:r>
      <w:r w:rsidR="00506C63">
        <w:t>t</w:t>
      </w:r>
      <w:r w:rsidRPr="005113BC">
        <w:t>oši piedāvātajai gradācijai. Tiek piedāvāti seko</w:t>
      </w:r>
      <w:r w:rsidR="00506C63">
        <w:t>jo</w:t>
      </w:r>
      <w:r w:rsidRPr="005113BC">
        <w:t>šie biotop</w:t>
      </w:r>
      <w:r w:rsidR="00923C0B">
        <w:t>u</w:t>
      </w:r>
      <w:r w:rsidRPr="005113BC">
        <w:t xml:space="preserve">/zemes lietojuma veidi, kā arī var ierakstīt </w:t>
      </w:r>
      <w:r w:rsidR="00506C63">
        <w:t>citu</w:t>
      </w:r>
      <w:r w:rsidR="00506C63" w:rsidRPr="005113BC">
        <w:t xml:space="preserve"> </w:t>
      </w:r>
      <w:r w:rsidRPr="005113BC">
        <w:t>variantu:</w:t>
      </w:r>
    </w:p>
    <w:p w14:paraId="4B0DDC13" w14:textId="24147AEA" w:rsidR="00693A30" w:rsidRPr="005113BC" w:rsidRDefault="004D363E" w:rsidP="001B0F47">
      <w:pPr>
        <w:pStyle w:val="ListParagraph"/>
        <w:numPr>
          <w:ilvl w:val="0"/>
          <w:numId w:val="19"/>
        </w:numPr>
        <w:jc w:val="both"/>
      </w:pPr>
      <w:r>
        <w:t>m</w:t>
      </w:r>
      <w:r w:rsidR="00693A30" w:rsidRPr="005113BC">
        <w:t>ežs;</w:t>
      </w:r>
    </w:p>
    <w:p w14:paraId="1F5BF584" w14:textId="40BC350E" w:rsidR="00693A30" w:rsidRPr="005113BC" w:rsidRDefault="004D363E" w:rsidP="001B0F47">
      <w:pPr>
        <w:pStyle w:val="ListParagraph"/>
        <w:numPr>
          <w:ilvl w:val="0"/>
          <w:numId w:val="19"/>
        </w:numPr>
        <w:jc w:val="both"/>
      </w:pPr>
      <w:r>
        <w:t>i</w:t>
      </w:r>
      <w:r w:rsidR="00693A30" w:rsidRPr="005113BC">
        <w:t>zcirtums;</w:t>
      </w:r>
    </w:p>
    <w:p w14:paraId="1EB0843A" w14:textId="0F4C2FF5" w:rsidR="00693A30" w:rsidRPr="005113BC" w:rsidRDefault="004D363E" w:rsidP="001B0F47">
      <w:pPr>
        <w:pStyle w:val="ListParagraph"/>
        <w:numPr>
          <w:ilvl w:val="0"/>
          <w:numId w:val="19"/>
        </w:numPr>
        <w:jc w:val="both"/>
      </w:pPr>
      <w:r>
        <w:t>k</w:t>
      </w:r>
      <w:r w:rsidR="00693A30" w:rsidRPr="005113BC">
        <w:t xml:space="preserve">āpas; </w:t>
      </w:r>
    </w:p>
    <w:p w14:paraId="6D2BABB1" w14:textId="78D8839F" w:rsidR="00693A30" w:rsidRPr="005113BC" w:rsidRDefault="004D363E" w:rsidP="001B0F47">
      <w:pPr>
        <w:pStyle w:val="ListParagraph"/>
        <w:numPr>
          <w:ilvl w:val="0"/>
          <w:numId w:val="19"/>
        </w:numPr>
        <w:jc w:val="both"/>
      </w:pPr>
      <w:r>
        <w:t>z</w:t>
      </w:r>
      <w:r w:rsidR="00693A30" w:rsidRPr="005113BC">
        <w:t>ālājs;</w:t>
      </w:r>
    </w:p>
    <w:p w14:paraId="59165B34" w14:textId="253E5EC1" w:rsidR="00693A30" w:rsidRPr="005113BC" w:rsidRDefault="004D363E" w:rsidP="001B0F47">
      <w:pPr>
        <w:pStyle w:val="ListParagraph"/>
        <w:numPr>
          <w:ilvl w:val="0"/>
          <w:numId w:val="19"/>
        </w:numPr>
        <w:jc w:val="both"/>
      </w:pPr>
      <w:r>
        <w:lastRenderedPageBreak/>
        <w:t>a</w:t>
      </w:r>
      <w:r w:rsidR="00693A30" w:rsidRPr="005113BC">
        <w:t>grocenoze;</w:t>
      </w:r>
    </w:p>
    <w:p w14:paraId="2D595123" w14:textId="64C5CC7B" w:rsidR="00693A30" w:rsidRPr="005113BC" w:rsidRDefault="004D363E" w:rsidP="001B0F47">
      <w:pPr>
        <w:pStyle w:val="ListParagraph"/>
        <w:numPr>
          <w:ilvl w:val="0"/>
          <w:numId w:val="19"/>
        </w:numPr>
        <w:jc w:val="both"/>
      </w:pPr>
      <w:r>
        <w:t>k</w:t>
      </w:r>
      <w:r w:rsidR="00693A30" w:rsidRPr="005113BC">
        <w:t>rūmājs;</w:t>
      </w:r>
    </w:p>
    <w:p w14:paraId="6BF61646" w14:textId="134277A2" w:rsidR="00693A30" w:rsidRPr="005113BC" w:rsidRDefault="004D363E" w:rsidP="001B0F47">
      <w:pPr>
        <w:pStyle w:val="ListParagraph"/>
        <w:numPr>
          <w:ilvl w:val="0"/>
          <w:numId w:val="19"/>
        </w:numPr>
        <w:jc w:val="both"/>
      </w:pPr>
      <w:r>
        <w:t>p</w:t>
      </w:r>
      <w:r w:rsidR="00693A30" w:rsidRPr="005113BC">
        <w:t>urvs;</w:t>
      </w:r>
    </w:p>
    <w:p w14:paraId="5689F789" w14:textId="77F4395F" w:rsidR="00693A30" w:rsidRPr="005113BC" w:rsidRDefault="004D363E" w:rsidP="001B0F47">
      <w:pPr>
        <w:pStyle w:val="ListParagraph"/>
        <w:numPr>
          <w:ilvl w:val="0"/>
          <w:numId w:val="19"/>
        </w:numPr>
        <w:jc w:val="both"/>
      </w:pPr>
      <w:r>
        <w:t>u</w:t>
      </w:r>
      <w:r w:rsidR="00693A30" w:rsidRPr="005113BC">
        <w:t>pe;</w:t>
      </w:r>
    </w:p>
    <w:p w14:paraId="40060AE1" w14:textId="6F49E234" w:rsidR="00693A30" w:rsidRPr="005113BC" w:rsidRDefault="004D363E" w:rsidP="001B0F47">
      <w:pPr>
        <w:pStyle w:val="ListParagraph"/>
        <w:numPr>
          <w:ilvl w:val="0"/>
          <w:numId w:val="19"/>
        </w:numPr>
        <w:jc w:val="both"/>
      </w:pPr>
      <w:r>
        <w:t>e</w:t>
      </w:r>
      <w:r w:rsidR="00693A30" w:rsidRPr="005113BC">
        <w:t>zers.</w:t>
      </w:r>
    </w:p>
    <w:p w14:paraId="1C9B9411" w14:textId="2696B8AB" w:rsidR="001B0F47" w:rsidRPr="005113BC" w:rsidRDefault="001B0F47" w:rsidP="00B55A04">
      <w:pPr>
        <w:jc w:val="both"/>
      </w:pPr>
      <w:r w:rsidRPr="005113BC">
        <w:t>Mērķsugu populācijas novērtējuma datu sadaļā reģistrē visu anketā iekļauto sugu īpatņus, ja tie tiek konstatēti uzskaites laikā. Īpatņus reģistrē katrā maršruta posmā atsevišķi. Papildus tiek reģistrēti dati par īpatņiem</w:t>
      </w:r>
      <w:r w:rsidR="00506C63">
        <w:t>,</w:t>
      </w:r>
      <w:r w:rsidRPr="005113BC">
        <w:t xml:space="preserve"> kas ir reģistrēti ārpus transektas. Katram posmam norāda monitoringa </w:t>
      </w:r>
      <w:r w:rsidRPr="005113BC">
        <w:rPr>
          <w:b/>
        </w:rPr>
        <w:t xml:space="preserve">mērķsugai/ām </w:t>
      </w:r>
      <w:r w:rsidRPr="005113BC">
        <w:t>nozīmīgo augu daudzuma novērtējumu, saskaņā ar piedāvāto gradāciju.</w:t>
      </w:r>
    </w:p>
    <w:p w14:paraId="5D4FB8F9" w14:textId="77777777" w:rsidR="004D363E" w:rsidRDefault="001B0F47" w:rsidP="00B55A04">
      <w:pPr>
        <w:jc w:val="both"/>
      </w:pPr>
      <w:r w:rsidRPr="005113BC">
        <w:t>Atsevišķā sadaļā tiek reģistrētas citas transektē reģistrētas aizsargājamās sugas, ja nav iespējams tās reģistrēt dabasdati.lv portālā vai dabas datu pārvaldības sistēmā “Ozols”</w:t>
      </w:r>
      <w:r w:rsidR="00506C63">
        <w:t>.</w:t>
      </w:r>
    </w:p>
    <w:p w14:paraId="1FE1309B" w14:textId="77777777" w:rsidR="004D363E" w:rsidRDefault="004D363E" w:rsidP="004D363E">
      <w:pPr>
        <w:pStyle w:val="ListParagraph"/>
        <w:ind w:left="0"/>
        <w:jc w:val="both"/>
        <w:textAlignment w:val="auto"/>
      </w:pPr>
    </w:p>
    <w:p w14:paraId="2CE52345" w14:textId="0E3199AD" w:rsidR="004D363E" w:rsidRPr="00DF7F2A" w:rsidRDefault="004D363E" w:rsidP="00DF7F2A">
      <w:pPr>
        <w:pStyle w:val="ListParagraph"/>
        <w:ind w:left="0"/>
        <w:jc w:val="both"/>
        <w:textAlignment w:val="auto"/>
      </w:pPr>
      <w:r>
        <w:t xml:space="preserve">Ietekmju </w:t>
      </w:r>
      <w:r>
        <w:rPr>
          <w:lang w:val="la-Latn"/>
        </w:rPr>
        <w:t xml:space="preserve">un apdraudējumu raksturojums saskaņā ar Article 17 ziņojuma vadlīnijām </w:t>
      </w:r>
      <w:r>
        <w:t xml:space="preserve">(Salafsky et al. 2008). </w:t>
      </w:r>
      <w:r>
        <w:rPr>
          <w:szCs w:val="28"/>
        </w:rPr>
        <w:t>V</w:t>
      </w:r>
      <w:r w:rsidRPr="004D363E">
        <w:rPr>
          <w:szCs w:val="28"/>
        </w:rPr>
        <w:t>eic</w:t>
      </w:r>
      <w:r>
        <w:t xml:space="preserve"> </w:t>
      </w:r>
      <w:r w:rsidRPr="004D363E">
        <w:rPr>
          <w:szCs w:val="28"/>
        </w:rPr>
        <w:t xml:space="preserve">visu konstatēto ietekmju izvērtējumu, un iekļaušanu tabulā atbilstoši </w:t>
      </w:r>
      <w:r w:rsidRPr="004D363E">
        <w:rPr>
          <w:i/>
          <w:szCs w:val="28"/>
        </w:rPr>
        <w:t>Article 17</w:t>
      </w:r>
      <w:r w:rsidRPr="004D363E">
        <w:rPr>
          <w:szCs w:val="28"/>
        </w:rPr>
        <w:t xml:space="preserve"> ziņojuma vadlīnijām, ietekmes tiek novērtētas un uzskaitītas apsekošanas laikā, bet klasifikatora kodi var tikt piešķirti kamerāli pēc uzskaites.</w:t>
      </w:r>
    </w:p>
    <w:p w14:paraId="0DC7EF7A" w14:textId="77777777" w:rsidR="00324EF1" w:rsidRPr="005113BC" w:rsidRDefault="00324EF1" w:rsidP="00D142E7">
      <w:pPr>
        <w:jc w:val="both"/>
        <w:rPr>
          <w:highlight w:val="yellow"/>
        </w:rPr>
      </w:pPr>
    </w:p>
    <w:p w14:paraId="4A3AE4E6" w14:textId="31582948" w:rsidR="00324EF1" w:rsidRPr="00F846A9" w:rsidRDefault="00F846A9" w:rsidP="00F846A9">
      <w:pPr>
        <w:jc w:val="both"/>
        <w:rPr>
          <w:b/>
          <w:color w:val="0070C0"/>
        </w:rPr>
      </w:pPr>
      <w:r>
        <w:rPr>
          <w:b/>
          <w:color w:val="0070C0"/>
        </w:rPr>
        <w:t xml:space="preserve">9. </w:t>
      </w:r>
      <w:r w:rsidR="00324EF1" w:rsidRPr="00F846A9">
        <w:rPr>
          <w:b/>
          <w:color w:val="0070C0"/>
        </w:rPr>
        <w:t>Monitoringa datu apstrāde</w:t>
      </w:r>
    </w:p>
    <w:p w14:paraId="58404B7F" w14:textId="46958288" w:rsidR="0056530F" w:rsidRPr="005113BC" w:rsidRDefault="0056530F" w:rsidP="0056530F">
      <w:pPr>
        <w:jc w:val="both"/>
        <w:rPr>
          <w:b/>
        </w:rPr>
      </w:pPr>
    </w:p>
    <w:p w14:paraId="6E537010" w14:textId="7F373662" w:rsidR="0056530F" w:rsidRPr="005113BC" w:rsidRDefault="0056530F" w:rsidP="0056530F">
      <w:pPr>
        <w:jc w:val="both"/>
      </w:pPr>
      <w:r w:rsidRPr="005113BC">
        <w:rPr>
          <w:b/>
        </w:rPr>
        <w:t xml:space="preserve">Īpatņu skaita aprēķins </w:t>
      </w:r>
      <w:r w:rsidRPr="005113BC">
        <w:t>Uzskaišu laikā iegūtos kvantitatīvos uzskaitīto indivīdu datus un pēc uzskaites iegūtos biotopu/mikrobiotopu platības datus izmanto populācijas lieluma aprēķināšanai. Kopumā novērtējot biotopu, saskaita katra monitoringa punkta vērtējuma punktu summu, tad aprēķina vidējo un iegūst skaitli, kas identificē biotopa stāvokli noteiktā teritorijā. Lai novērtētu populācijas lielumu katrā teritorijā veic sekojošus aprēķinus:</w:t>
      </w:r>
    </w:p>
    <w:p w14:paraId="11FF0C47" w14:textId="77777777" w:rsidR="0056530F" w:rsidRPr="005113BC" w:rsidRDefault="0056530F" w:rsidP="0056530F">
      <w:pPr>
        <w:numPr>
          <w:ilvl w:val="0"/>
          <w:numId w:val="1"/>
        </w:numPr>
        <w:tabs>
          <w:tab w:val="clear" w:pos="1287"/>
          <w:tab w:val="num" w:pos="927"/>
        </w:tabs>
        <w:ind w:left="851" w:hanging="425"/>
        <w:jc w:val="both"/>
      </w:pPr>
      <w:r w:rsidRPr="005113BC">
        <w:t>saskaita kopējo novēroto tauriņu skaitu visās transektēs, aprēķina monitorēto taksektu platību (pēc novērotāja iezīmētā maršruta), aprēķina vidējo tauriņu skaitu uz 1 ha;</w:t>
      </w:r>
    </w:p>
    <w:p w14:paraId="0086BA04" w14:textId="77777777" w:rsidR="0056530F" w:rsidRPr="005113BC" w:rsidRDefault="0056530F" w:rsidP="0056530F">
      <w:pPr>
        <w:numPr>
          <w:ilvl w:val="0"/>
          <w:numId w:val="1"/>
        </w:numPr>
        <w:tabs>
          <w:tab w:val="clear" w:pos="1287"/>
        </w:tabs>
        <w:ind w:left="851" w:hanging="425"/>
        <w:jc w:val="both"/>
      </w:pPr>
      <w:r w:rsidRPr="005113BC">
        <w:t>aprēķina vai uzzina sugai piemēroto biotopu platību konkrētajā Natura teritorijā;</w:t>
      </w:r>
    </w:p>
    <w:p w14:paraId="43B22FA1" w14:textId="2C899DDD" w:rsidR="0056530F" w:rsidRPr="005113BC" w:rsidRDefault="0056530F" w:rsidP="0056530F">
      <w:pPr>
        <w:numPr>
          <w:ilvl w:val="0"/>
          <w:numId w:val="1"/>
        </w:numPr>
        <w:tabs>
          <w:tab w:val="clear" w:pos="1287"/>
        </w:tabs>
        <w:ind w:left="851" w:hanging="425"/>
        <w:jc w:val="both"/>
      </w:pPr>
      <w:r w:rsidRPr="005113BC">
        <w:t>zinot piemērotā biotopa platību (ha) un vidējo blīvumu uz ha, aprēķina kopējo populācijas lielumu (kopējā platība ha x vidējais blīvums uz 1 ha</w:t>
      </w:r>
      <w:r w:rsidR="00506C63">
        <w:t>)</w:t>
      </w:r>
      <w:r w:rsidRPr="005113BC">
        <w:t>.</w:t>
      </w:r>
    </w:p>
    <w:p w14:paraId="7BAB6C6E" w14:textId="042E4BA3" w:rsidR="0056530F" w:rsidRPr="005113BC" w:rsidRDefault="0056530F" w:rsidP="00DF7F2A">
      <w:pPr>
        <w:jc w:val="both"/>
      </w:pPr>
      <w:r w:rsidRPr="005113BC">
        <w:t xml:space="preserve"> Anketā norādītie meteoroloģiskie dati izmantojami datu kvalitātes kontrolei, sugu klātbūtnes un skaita izmaiņu interpretācijai.</w:t>
      </w:r>
    </w:p>
    <w:p w14:paraId="3464681A" w14:textId="77777777" w:rsidR="00070206" w:rsidRPr="005113BC" w:rsidRDefault="00070206" w:rsidP="0099065D">
      <w:pPr>
        <w:jc w:val="both"/>
      </w:pPr>
      <w:r w:rsidRPr="005113BC">
        <w:t xml:space="preserve">Sugu īpatņu dati pieder pie pozitīviem diskrētiem datiem, kuriem visbiežāk ir </w:t>
      </w:r>
      <w:r w:rsidRPr="005113BC">
        <w:rPr>
          <w:i/>
          <w:iCs/>
        </w:rPr>
        <w:t>Poisson</w:t>
      </w:r>
      <w:r w:rsidRPr="005113BC">
        <w:t xml:space="preserve"> vai </w:t>
      </w:r>
      <w:r w:rsidRPr="005113BC">
        <w:rPr>
          <w:i/>
          <w:iCs/>
        </w:rPr>
        <w:t>negative binomial</w:t>
      </w:r>
      <w:r w:rsidRPr="005113BC">
        <w:t xml:space="preserve"> datu sadalījums (Zuur et al., 2009). Tas nozīme, ka vidējo tendenču un izplatības radītāju aprēķināšanai ir jāizmanto mediāna un interkvartīlu robeža, savukārt, lai salīdzinātu datu sadalījumus starp dažādām sugām ir jāpielieto variācijas koeficients, kas arī parada populācijas datu homogenitātes pakāpi (0 -15% homogēni dati, 16 – 33% vidēji homogēni dati, &gt;33% - heterogēni dati).</w:t>
      </w:r>
    </w:p>
    <w:p w14:paraId="0AFA89C3" w14:textId="625E7A87" w:rsidR="00070206" w:rsidRPr="005113BC" w:rsidRDefault="00070206" w:rsidP="0099065D">
      <w:pPr>
        <w:jc w:val="both"/>
      </w:pPr>
      <w:r w:rsidRPr="005113BC">
        <w:t>Ja empīriskie dati ir pieejami tikai no vienas izlases</w:t>
      </w:r>
      <w:r w:rsidR="00506C63">
        <w:t>,</w:t>
      </w:r>
      <w:r w:rsidRPr="005113BC">
        <w:t xml:space="preserve"> savukārt</w:t>
      </w:r>
      <w:r w:rsidR="00506C63">
        <w:t>,</w:t>
      </w:r>
      <w:r w:rsidRPr="005113BC">
        <w:t xml:space="preserve"> no otras izlases ir pieejami tikai aprakstošas statistikas radītāji (mediāna vai vidējais aritmētiskais)</w:t>
      </w:r>
      <w:r w:rsidR="004D363E">
        <w:t>,</w:t>
      </w:r>
      <w:r w:rsidRPr="005113BC">
        <w:t xml:space="preserve"> datu salīdzināšana jāveic pielietojot </w:t>
      </w:r>
      <w:r w:rsidRPr="005113BC">
        <w:rPr>
          <w:i/>
          <w:iCs/>
        </w:rPr>
        <w:t>one sample Wilcoxon signed rank</w:t>
      </w:r>
      <w:r w:rsidRPr="005113BC">
        <w:t xml:space="preserve"> testu</w:t>
      </w:r>
      <w:r w:rsidR="00506C63">
        <w:t>.</w:t>
      </w:r>
      <w:r w:rsidRPr="005113BC">
        <w:t xml:space="preserve"> Divu izlašu salīdzināšanai izmanto </w:t>
      </w:r>
      <w:r w:rsidRPr="005113BC">
        <w:rPr>
          <w:i/>
          <w:iCs/>
        </w:rPr>
        <w:t>Mann-Whitney U</w:t>
      </w:r>
      <w:r w:rsidRPr="005113BC">
        <w:t xml:space="preserve"> testu. </w:t>
      </w:r>
    </w:p>
    <w:p w14:paraId="4883A8EC" w14:textId="3B463ABD" w:rsidR="00070206" w:rsidRPr="005113BC" w:rsidRDefault="00070206" w:rsidP="0099065D">
      <w:pPr>
        <w:jc w:val="both"/>
      </w:pPr>
      <w:r w:rsidRPr="005113BC">
        <w:t xml:space="preserve"> Izmantojot monitoringa ietvaros iegūtus datus par abiotiskiem un biotiskiem faktoriem poligonā, jāveic regresijas analīze, piemēram, </w:t>
      </w:r>
      <w:r w:rsidRPr="005113BC">
        <w:rPr>
          <w:i/>
          <w:iCs/>
        </w:rPr>
        <w:t>Poisson</w:t>
      </w:r>
      <w:r w:rsidRPr="005113BC">
        <w:t xml:space="preserve"> vai </w:t>
      </w:r>
      <w:r w:rsidRPr="005113BC">
        <w:rPr>
          <w:i/>
          <w:iCs/>
        </w:rPr>
        <w:t>negative binomial</w:t>
      </w:r>
      <w:r w:rsidRPr="005113BC">
        <w:t xml:space="preserve"> regresija, kas parada kādi faktori būtiski ietekmē sugas īpatņu sastopamību. Gadījumā</w:t>
      </w:r>
      <w:r w:rsidR="00506C63">
        <w:t>,</w:t>
      </w:r>
      <w:r w:rsidRPr="005113BC">
        <w:t xml:space="preserve"> ja datos būs daudz nulles vērtības, tad tiks pielietota </w:t>
      </w:r>
      <w:r w:rsidRPr="005113BC">
        <w:rPr>
          <w:i/>
          <w:iCs/>
        </w:rPr>
        <w:t>zero-inflated Poisson</w:t>
      </w:r>
      <w:r w:rsidRPr="005113BC">
        <w:t xml:space="preserve"> vai </w:t>
      </w:r>
      <w:r w:rsidRPr="005113BC">
        <w:rPr>
          <w:i/>
          <w:iCs/>
        </w:rPr>
        <w:t>negative binomial</w:t>
      </w:r>
      <w:r w:rsidRPr="005113BC">
        <w:t xml:space="preserve"> regresijas analīze. Tās ir divpakāpju analīzes veids, kur pirmajā solī tiek modulēta sugas sastopamības varbūtība, bet otrajā solī tiek modulēta sugas īpatņu sastopamība. Detalizētāka informācija par šīm datu apstrādes metodēm ir pieejama Zuur et al., (2009)</w:t>
      </w:r>
    </w:p>
    <w:p w14:paraId="2C4A270E" w14:textId="1048397B" w:rsidR="0099065D" w:rsidRPr="005113BC" w:rsidRDefault="0099065D" w:rsidP="0099065D">
      <w:pPr>
        <w:pStyle w:val="Default"/>
        <w:jc w:val="both"/>
        <w:rPr>
          <w:b/>
          <w:bCs/>
          <w:color w:val="auto"/>
        </w:rPr>
      </w:pPr>
      <w:r w:rsidRPr="005113BC">
        <w:rPr>
          <w:b/>
          <w:bCs/>
          <w:color w:val="auto"/>
        </w:rPr>
        <w:lastRenderedPageBreak/>
        <w:t>Biotopu kvalitātes novērtējums</w:t>
      </w:r>
      <w:r w:rsidR="00506C63">
        <w:rPr>
          <w:b/>
          <w:bCs/>
          <w:color w:val="auto"/>
        </w:rPr>
        <w:t>.</w:t>
      </w:r>
      <w:r w:rsidRPr="005113BC">
        <w:rPr>
          <w:b/>
          <w:bCs/>
          <w:color w:val="auto"/>
        </w:rPr>
        <w:t xml:space="preserve"> </w:t>
      </w:r>
      <w:r w:rsidRPr="005113BC">
        <w:t xml:space="preserve">Uzskaites vietas vēlams fotografēt, vietas ar fotogrāfiju identifikatoru un fotografēšanas virzienu norādot kartē. Galvenos biotopu negatīvi ietekmējošos faktorus norāda atbilstoši Article 17 ziņojuma vadlīnijām (Reference list Threats, Pressures and Activities (final version) / IUCN-CMP: classification of Salafsky et al. 2008) norādot katra faktora ietekmi (augsta, vidēja, zema) un aprakstot kā tas ietekmē vai var ietekmēt sugu vai tās biotopu. Jānorāda tikai tie faktori, kas </w:t>
      </w:r>
      <w:r w:rsidRPr="005113BC">
        <w:rPr>
          <w:u w:val="single"/>
        </w:rPr>
        <w:t>reāli</w:t>
      </w:r>
      <w:r w:rsidRPr="005113BC">
        <w:t xml:space="preserve"> ietekmē vai var ietekmēt sugu vai tās biotopu. </w:t>
      </w:r>
      <w:r w:rsidRPr="005113BC">
        <w:rPr>
          <w:b/>
        </w:rPr>
        <w:t xml:space="preserve"> </w:t>
      </w:r>
    </w:p>
    <w:p w14:paraId="102C7E7C" w14:textId="15FD22E8" w:rsidR="00443790" w:rsidRPr="00F846A9" w:rsidRDefault="00443790">
      <w:pPr>
        <w:rPr>
          <w:color w:val="0070C0"/>
          <w:highlight w:val="yellow"/>
        </w:rPr>
      </w:pPr>
    </w:p>
    <w:p w14:paraId="2B30D92D" w14:textId="2F8BD9D1" w:rsidR="00443790" w:rsidRPr="00F846A9" w:rsidRDefault="00F846A9" w:rsidP="00F846A9">
      <w:pPr>
        <w:rPr>
          <w:b/>
          <w:color w:val="0070C0"/>
        </w:rPr>
      </w:pPr>
      <w:r>
        <w:rPr>
          <w:b/>
          <w:color w:val="0070C0"/>
        </w:rPr>
        <w:t>10</w:t>
      </w:r>
      <w:r w:rsidRPr="00F846A9">
        <w:rPr>
          <w:b/>
          <w:color w:val="0070C0"/>
        </w:rPr>
        <w:t xml:space="preserve">. </w:t>
      </w:r>
      <w:r w:rsidR="00443790" w:rsidRPr="00F846A9">
        <w:rPr>
          <w:b/>
          <w:color w:val="0070C0"/>
        </w:rPr>
        <w:t>Literatūra</w:t>
      </w:r>
    </w:p>
    <w:p w14:paraId="6E96CB5C" w14:textId="77777777" w:rsidR="007A36A7" w:rsidRPr="005113BC" w:rsidRDefault="007A36A7">
      <w:pPr>
        <w:rPr>
          <w:b/>
        </w:rPr>
      </w:pPr>
    </w:p>
    <w:p w14:paraId="70FC5C23" w14:textId="2455AD2D" w:rsidR="009D6158" w:rsidRPr="005113BC" w:rsidRDefault="007A36A7" w:rsidP="009D6158">
      <w:pPr>
        <w:jc w:val="both"/>
      </w:pPr>
      <w:r w:rsidRPr="005113BC">
        <w:t>Bergman K.O. 1996. Oviposition, host plant choice and survival of a grass feeding butterfly, the Woodland Brown (Lopinga achine) (Nymphalidae: Satyrinae). Valimaki P., Itamies J. 2003. Migration of the clouded Apollo butterfly Parnassius mnemosyne in a network of suitable habitats – effects of patch characteristics. Ecography 26: 679–691.</w:t>
      </w:r>
    </w:p>
    <w:p w14:paraId="090BCA1F" w14:textId="77777777" w:rsidR="007A36A7" w:rsidRPr="005113BC" w:rsidRDefault="007A36A7" w:rsidP="009D6158">
      <w:pPr>
        <w:jc w:val="both"/>
      </w:pPr>
    </w:p>
    <w:p w14:paraId="15217318" w14:textId="2A047BBD" w:rsidR="009D6158" w:rsidRPr="005113BC" w:rsidRDefault="009D6158" w:rsidP="009D6158">
      <w:pPr>
        <w:jc w:val="both"/>
      </w:pPr>
      <w:r w:rsidRPr="005113BC">
        <w:t>Chris van Swaay A. M., Nowicki P., Settele j., Arco J., van Strien A.J. 2008. Butterfly monitoring in Europe: methods, applications and perspectives. Biodiversity and Conservation, 17 (14): 3455-3469.</w:t>
      </w:r>
    </w:p>
    <w:p w14:paraId="42F1D12B" w14:textId="51F24379" w:rsidR="007A36A7" w:rsidRPr="005113BC" w:rsidRDefault="007A36A7" w:rsidP="009D6158">
      <w:pPr>
        <w:jc w:val="both"/>
      </w:pPr>
    </w:p>
    <w:p w14:paraId="412ACD73" w14:textId="77777777" w:rsidR="007A36A7" w:rsidRPr="005113BC" w:rsidRDefault="007A36A7" w:rsidP="007A36A7">
      <w:pPr>
        <w:jc w:val="both"/>
      </w:pPr>
      <w:r w:rsidRPr="005113BC">
        <w:t>Meier K., Kuusemets V., Luig J., Mander A. 2005. Riparian buffer zones as elements of ecological networks: Case study on Parnassius mnemosyne distribution in Estonia. Ecological Engineering 24 (5): 531-538. Journal of Research on the Lepidoptera 35: 9-21.</w:t>
      </w:r>
    </w:p>
    <w:p w14:paraId="2C3CE3D1" w14:textId="36FCA5D6" w:rsidR="00194995" w:rsidRPr="005113BC" w:rsidRDefault="00194995" w:rsidP="009D6158">
      <w:pPr>
        <w:jc w:val="both"/>
      </w:pPr>
    </w:p>
    <w:p w14:paraId="73DE0247" w14:textId="77777777" w:rsidR="00194995" w:rsidRPr="005113BC" w:rsidRDefault="00194995" w:rsidP="00194995">
      <w:pPr>
        <w:pStyle w:val="ListParagraph"/>
        <w:ind w:left="0"/>
        <w:jc w:val="both"/>
      </w:pPr>
      <w:r w:rsidRPr="005113BC">
        <w:t>Freese A., Benes J., Bolz R., Cizek O., Dolek M., Geyer A., Gros P., Konvicka M., Liegl A., Stettmer C. 2006. Habitat use of the endangered butterfly Euphydryas maturna and forestry in Central Europe Animal Conservation 9: 388–397.</w:t>
      </w:r>
    </w:p>
    <w:p w14:paraId="0C66E33E" w14:textId="77777777" w:rsidR="009D6158" w:rsidRPr="005113BC" w:rsidRDefault="009D6158"/>
    <w:p w14:paraId="3ED8FF29" w14:textId="5D0C4C22" w:rsidR="00443790" w:rsidRPr="005113BC" w:rsidRDefault="00443790" w:rsidP="00443790">
      <w:pPr>
        <w:jc w:val="both"/>
      </w:pPr>
      <w:r w:rsidRPr="005113BC">
        <w:t xml:space="preserve">Savenkovs N. 2017. Īpaši aizsargājamās un reti sastopamās tauriņu sugas Latvijā. Metodiskais materiāls sagatavots LVAF projekta “Dabas aizsardzības pārvaldes kapacitātes stiprināšana, nodrošinot jaunu sugu aizsardzības jomas ekspertu apmācību un paaugstinot profesionālo kompetenci DAP speciālistiem”, Nr. 1-08/ 171 / 2017 </w:t>
      </w:r>
      <w:r w:rsidR="00DB1878" w:rsidRPr="005113BC">
        <w:t xml:space="preserve">projekta </w:t>
      </w:r>
      <w:r w:rsidRPr="005113BC">
        <w:t>ietvaros</w:t>
      </w:r>
      <w:r w:rsidR="00DB1878" w:rsidRPr="005113BC">
        <w:t>: 32</w:t>
      </w:r>
    </w:p>
    <w:p w14:paraId="3BD19EAD" w14:textId="73C12305" w:rsidR="00544231" w:rsidRPr="005113BC" w:rsidRDefault="00544231" w:rsidP="00443790">
      <w:pPr>
        <w:jc w:val="both"/>
      </w:pPr>
    </w:p>
    <w:p w14:paraId="0C53373F" w14:textId="77777777" w:rsidR="00544231" w:rsidRPr="005113BC" w:rsidRDefault="00544231" w:rsidP="00544231">
      <w:pPr>
        <w:jc w:val="both"/>
        <w:rPr>
          <w:szCs w:val="20"/>
        </w:rPr>
      </w:pPr>
      <w:r w:rsidRPr="005113BC">
        <w:rPr>
          <w:szCs w:val="20"/>
        </w:rPr>
        <w:t>Salafsky, N., et al. 2008. A standard lexicon for biodiversity conservation: unified classifications of threats and actions. Conservation Biology 22:897–911.</w:t>
      </w:r>
    </w:p>
    <w:p w14:paraId="1FDF41D1" w14:textId="77777777" w:rsidR="00443790" w:rsidRPr="005113BC" w:rsidRDefault="00443790"/>
    <w:p w14:paraId="47724DF9" w14:textId="5EF60A75" w:rsidR="00443790" w:rsidRPr="005113BC" w:rsidRDefault="00443790" w:rsidP="00DB1878">
      <w:pPr>
        <w:jc w:val="both"/>
      </w:pPr>
      <w:r w:rsidRPr="005113BC">
        <w:t>Wiemers M</w:t>
      </w:r>
      <w:r w:rsidR="00DB1878" w:rsidRPr="005113BC">
        <w:t>.</w:t>
      </w:r>
      <w:r w:rsidRPr="005113BC">
        <w:t>, van Swaay C</w:t>
      </w:r>
      <w:r w:rsidR="00DB1878" w:rsidRPr="005113BC">
        <w:t>.</w:t>
      </w:r>
      <w:r w:rsidRPr="005113BC">
        <w:t>, Collins S</w:t>
      </w:r>
      <w:r w:rsidR="00DB1878" w:rsidRPr="005113BC">
        <w:t>.</w:t>
      </w:r>
      <w:r w:rsidRPr="005113BC">
        <w:t>, Dušej G</w:t>
      </w:r>
      <w:r w:rsidR="00DB1878" w:rsidRPr="005113BC">
        <w:t>.</w:t>
      </w:r>
      <w:r w:rsidRPr="005113BC">
        <w:t>, Maes D</w:t>
      </w:r>
      <w:r w:rsidR="00DB1878" w:rsidRPr="005113BC">
        <w:t>.</w:t>
      </w:r>
      <w:r w:rsidRPr="005113BC">
        <w:t>, Munguira M</w:t>
      </w:r>
      <w:r w:rsidR="00DB1878" w:rsidRPr="005113BC">
        <w:t>.</w:t>
      </w:r>
      <w:r w:rsidRPr="005113BC">
        <w:t>, Rakosy L</w:t>
      </w:r>
      <w:r w:rsidR="00DB1878" w:rsidRPr="005113BC">
        <w:t>.</w:t>
      </w:r>
      <w:r w:rsidRPr="005113BC">
        <w:t>, Ryrholm N</w:t>
      </w:r>
      <w:r w:rsidR="00DB1878" w:rsidRPr="005113BC">
        <w:t>.</w:t>
      </w:r>
      <w:r w:rsidRPr="005113BC">
        <w:t>, Šašić M</w:t>
      </w:r>
      <w:r w:rsidR="00DB1878" w:rsidRPr="005113BC">
        <w:t>.</w:t>
      </w:r>
      <w:r w:rsidRPr="005113BC">
        <w:t>, Settele J</w:t>
      </w:r>
      <w:r w:rsidR="00DB1878" w:rsidRPr="005113BC">
        <w:t>.</w:t>
      </w:r>
      <w:r w:rsidRPr="005113BC">
        <w:t>, Thomas J</w:t>
      </w:r>
      <w:r w:rsidR="00DB1878" w:rsidRPr="005113BC">
        <w:t>.</w:t>
      </w:r>
      <w:r w:rsidRPr="005113BC">
        <w:t>, Verovnik R</w:t>
      </w:r>
      <w:r w:rsidR="00DB1878" w:rsidRPr="005113BC">
        <w:t>.</w:t>
      </w:r>
      <w:r w:rsidRPr="005113BC">
        <w:t>, Verstrael T</w:t>
      </w:r>
      <w:r w:rsidR="00DB1878" w:rsidRPr="005113BC">
        <w:t>.</w:t>
      </w:r>
      <w:r w:rsidRPr="005113BC">
        <w:t>, Warren M</w:t>
      </w:r>
      <w:r w:rsidR="00DB1878" w:rsidRPr="005113BC">
        <w:t>.</w:t>
      </w:r>
      <w:r w:rsidRPr="005113BC">
        <w:t>, Wynhoff I</w:t>
      </w:r>
      <w:r w:rsidR="00DB1878" w:rsidRPr="005113BC">
        <w:t>. 2012.</w:t>
      </w:r>
      <w:r w:rsidRPr="005113BC">
        <w:t xml:space="preserve"> Dos and Don’ts for butterflies of the Habitats Directive of the European Union. Nature Conservation 1: 73-153. </w:t>
      </w:r>
      <w:hyperlink r:id="rId8" w:tgtFrame="_blank" w:history="1">
        <w:r w:rsidRPr="005113BC">
          <w:t>https://doi.org/10.3897/natureconservation.1.2786</w:t>
        </w:r>
      </w:hyperlink>
    </w:p>
    <w:p w14:paraId="1FFC040C" w14:textId="00D4D083" w:rsidR="00EF2773" w:rsidRPr="005113BC" w:rsidRDefault="00EF2773" w:rsidP="00DB1878">
      <w:pPr>
        <w:jc w:val="both"/>
      </w:pPr>
    </w:p>
    <w:p w14:paraId="3410738E" w14:textId="2BF2B086" w:rsidR="00194995" w:rsidRPr="005113BC" w:rsidRDefault="009D6158" w:rsidP="009D6158">
      <w:pPr>
        <w:pStyle w:val="ListParagraph"/>
        <w:ind w:left="0"/>
        <w:jc w:val="both"/>
      </w:pPr>
      <w:r w:rsidRPr="005113BC">
        <w:t>Zuur, A., Ieno, E.N., Walker, N., Saveliev, A.A. &amp; Smith, G.M. 2009. Mixed effects models and extensions in ecology with R. 574 pp. New York, USA, Springer ScienceBusiness Media</w:t>
      </w:r>
    </w:p>
    <w:p w14:paraId="7F4FE510" w14:textId="37138EDA" w:rsidR="00EF2773" w:rsidRPr="005113BC" w:rsidRDefault="00EF2773" w:rsidP="00DB1878">
      <w:pPr>
        <w:jc w:val="both"/>
      </w:pPr>
    </w:p>
    <w:p w14:paraId="045BFFC4" w14:textId="77777777" w:rsidR="00EF2773" w:rsidRPr="005113BC" w:rsidRDefault="00EF2773" w:rsidP="00DB1878">
      <w:pPr>
        <w:jc w:val="both"/>
      </w:pPr>
    </w:p>
    <w:sectPr w:rsidR="00EF2773" w:rsidRPr="005113B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FC24" w14:textId="77777777" w:rsidR="007E107C" w:rsidRDefault="007E107C" w:rsidP="001842B3">
      <w:r>
        <w:separator/>
      </w:r>
    </w:p>
  </w:endnote>
  <w:endnote w:type="continuationSeparator" w:id="0">
    <w:p w14:paraId="1685DAF4" w14:textId="77777777" w:rsidR="007E107C" w:rsidRDefault="007E107C" w:rsidP="001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DD48" w14:textId="77777777" w:rsidR="007E107C" w:rsidRDefault="007E107C" w:rsidP="001842B3">
      <w:r>
        <w:separator/>
      </w:r>
    </w:p>
  </w:footnote>
  <w:footnote w:type="continuationSeparator" w:id="0">
    <w:p w14:paraId="02CB5122" w14:textId="77777777" w:rsidR="007E107C" w:rsidRDefault="007E107C" w:rsidP="0018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FFD8" w14:textId="77777777" w:rsidR="001842B3" w:rsidRPr="0026138A" w:rsidRDefault="001842B3" w:rsidP="001842B3">
    <w:pPr>
      <w:pStyle w:val="Header"/>
      <w:jc w:val="right"/>
      <w:rPr>
        <w:szCs w:val="20"/>
        <w:lang w:val="en-US"/>
      </w:rPr>
    </w:pPr>
    <w:proofErr w:type="spellStart"/>
    <w:r w:rsidRPr="0026138A">
      <w:rPr>
        <w:szCs w:val="20"/>
        <w:lang w:val="en-US"/>
      </w:rPr>
      <w:t>Bezmugurkaulnieku</w:t>
    </w:r>
    <w:proofErr w:type="spellEnd"/>
    <w:r w:rsidRPr="0026138A">
      <w:rPr>
        <w:szCs w:val="20"/>
        <w:lang w:val="en-US"/>
      </w:rPr>
      <w:t xml:space="preserve"> </w:t>
    </w:r>
    <w:proofErr w:type="spellStart"/>
    <w:r w:rsidRPr="0026138A">
      <w:rPr>
        <w:szCs w:val="20"/>
        <w:lang w:val="en-US"/>
      </w:rPr>
      <w:t>monitoringa</w:t>
    </w:r>
    <w:proofErr w:type="spellEnd"/>
    <w:r w:rsidRPr="0026138A">
      <w:rPr>
        <w:szCs w:val="20"/>
        <w:lang w:val="en-US"/>
      </w:rPr>
      <w:t xml:space="preserve"> </w:t>
    </w:r>
    <w:proofErr w:type="spellStart"/>
    <w:r w:rsidRPr="0026138A">
      <w:rPr>
        <w:szCs w:val="20"/>
        <w:lang w:val="en-US"/>
      </w:rPr>
      <w:t>metodika</w:t>
    </w:r>
    <w:proofErr w:type="spellEnd"/>
    <w:r w:rsidRPr="0026138A">
      <w:rPr>
        <w:szCs w:val="20"/>
        <w:lang w:val="en-US"/>
      </w:rPr>
      <w:t xml:space="preserve"> Natura 2000 </w:t>
    </w:r>
    <w:proofErr w:type="spellStart"/>
    <w:r w:rsidRPr="0026138A">
      <w:rPr>
        <w:szCs w:val="20"/>
        <w:lang w:val="en-US"/>
      </w:rPr>
      <w:t>teritorijās</w:t>
    </w:r>
    <w:proofErr w:type="spellEnd"/>
    <w:r w:rsidRPr="0026138A">
      <w:rPr>
        <w:szCs w:val="20"/>
      </w:rPr>
      <w:t xml:space="preserve"> </w:t>
    </w:r>
  </w:p>
  <w:p w14:paraId="74452A6E" w14:textId="77777777" w:rsidR="001842B3" w:rsidRDefault="00184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D38"/>
    <w:multiLevelType w:val="hybridMultilevel"/>
    <w:tmpl w:val="FC50411C"/>
    <w:lvl w:ilvl="0" w:tplc="7F461146">
      <w:start w:val="7"/>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861269A"/>
    <w:multiLevelType w:val="hybridMultilevel"/>
    <w:tmpl w:val="3A16E1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C3694"/>
    <w:multiLevelType w:val="multilevel"/>
    <w:tmpl w:val="184EC0A4"/>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2FF7B10"/>
    <w:multiLevelType w:val="hybridMultilevel"/>
    <w:tmpl w:val="82F0AD5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E78CA"/>
    <w:multiLevelType w:val="multilevel"/>
    <w:tmpl w:val="52CCB0A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20E53580"/>
    <w:multiLevelType w:val="multilevel"/>
    <w:tmpl w:val="3AF41606"/>
    <w:lvl w:ilvl="0">
      <w:start w:val="2"/>
      <w:numFmt w:val="decimal"/>
      <w:lvlText w:val="%1."/>
      <w:lvlJc w:val="left"/>
      <w:pPr>
        <w:ind w:left="540" w:hanging="540"/>
      </w:pPr>
    </w:lvl>
    <w:lvl w:ilvl="1">
      <w:start w:val="3"/>
      <w:numFmt w:val="decimal"/>
      <w:lvlText w:val="%1.%2."/>
      <w:lvlJc w:val="left"/>
      <w:pPr>
        <w:ind w:left="1170" w:hanging="540"/>
      </w:pPr>
    </w:lvl>
    <w:lvl w:ilvl="2">
      <w:start w:val="7"/>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3DD1735"/>
    <w:multiLevelType w:val="hybridMultilevel"/>
    <w:tmpl w:val="289E8C6C"/>
    <w:lvl w:ilvl="0" w:tplc="0809000B">
      <w:start w:val="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E6E36"/>
    <w:multiLevelType w:val="hybridMultilevel"/>
    <w:tmpl w:val="DB7A51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F094D"/>
    <w:multiLevelType w:val="hybridMultilevel"/>
    <w:tmpl w:val="F0BE6DA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6200F"/>
    <w:multiLevelType w:val="multilevel"/>
    <w:tmpl w:val="33C0CF6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3672348"/>
    <w:multiLevelType w:val="hybridMultilevel"/>
    <w:tmpl w:val="55C85F6E"/>
    <w:lvl w:ilvl="0" w:tplc="0409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AD54C02"/>
    <w:multiLevelType w:val="hybridMultilevel"/>
    <w:tmpl w:val="95D8F5B6"/>
    <w:lvl w:ilvl="0" w:tplc="0809000D">
      <w:start w:val="1"/>
      <w:numFmt w:val="bullet"/>
      <w:lvlText w:val=""/>
      <w:lvlJc w:val="left"/>
      <w:pPr>
        <w:ind w:left="1980" w:hanging="360"/>
      </w:pPr>
      <w:rPr>
        <w:rFonts w:ascii="Wingdings" w:hAnsi="Wingdings" w:hint="default"/>
      </w:rPr>
    </w:lvl>
    <w:lvl w:ilvl="1" w:tplc="0809000D">
      <w:start w:val="1"/>
      <w:numFmt w:val="bullet"/>
      <w:lvlText w:val=""/>
      <w:lvlJc w:val="left"/>
      <w:pPr>
        <w:ind w:left="2700" w:hanging="360"/>
      </w:pPr>
      <w:rPr>
        <w:rFonts w:ascii="Wingdings" w:hAnsi="Wingdings"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4" w15:restartNumberingAfterBreak="0">
    <w:nsid w:val="45F21847"/>
    <w:multiLevelType w:val="hybridMultilevel"/>
    <w:tmpl w:val="3586C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40830"/>
    <w:multiLevelType w:val="multilevel"/>
    <w:tmpl w:val="9E1C0A2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0A143AD"/>
    <w:multiLevelType w:val="multilevel"/>
    <w:tmpl w:val="40A21BCA"/>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20E012F"/>
    <w:multiLevelType w:val="multilevel"/>
    <w:tmpl w:val="62C6BD0C"/>
    <w:lvl w:ilvl="0">
      <w:start w:val="1"/>
      <w:numFmt w:val="decimal"/>
      <w:lvlText w:val="%1."/>
      <w:lvlJc w:val="left"/>
      <w:pPr>
        <w:ind w:left="720" w:hanging="360"/>
      </w:pPr>
      <w:rPr>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7DF1737"/>
    <w:multiLevelType w:val="hybridMultilevel"/>
    <w:tmpl w:val="3D48726A"/>
    <w:lvl w:ilvl="0" w:tplc="59DA6370">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3264E"/>
    <w:multiLevelType w:val="multilevel"/>
    <w:tmpl w:val="EF6E043E"/>
    <w:lvl w:ilvl="0">
      <w:start w:val="3"/>
      <w:numFmt w:val="decimal"/>
      <w:lvlText w:val="%1."/>
      <w:lvlJc w:val="left"/>
      <w:pPr>
        <w:ind w:left="360" w:hanging="360"/>
      </w:pPr>
      <w:rPr>
        <w:b/>
        <w:color w:val="0070C0"/>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8E406B5"/>
    <w:multiLevelType w:val="multilevel"/>
    <w:tmpl w:val="188282D4"/>
    <w:lvl w:ilvl="0">
      <w:start w:val="1"/>
      <w:numFmt w:val="decimal"/>
      <w:lvlText w:val="%1."/>
      <w:lvlJc w:val="left"/>
      <w:pPr>
        <w:ind w:left="540" w:hanging="540"/>
      </w:p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7F54091F"/>
    <w:multiLevelType w:val="multilevel"/>
    <w:tmpl w:val="3DFEA2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12"/>
  </w:num>
  <w:num w:numId="2">
    <w:abstractNumId w:val="18"/>
  </w:num>
  <w:num w:numId="3">
    <w:abstractNumId w:val="15"/>
  </w:num>
  <w:num w:numId="4">
    <w:abstractNumId w:val="7"/>
  </w:num>
  <w:num w:numId="5">
    <w:abstractNumId w:val="22"/>
  </w:num>
  <w:num w:numId="6">
    <w:abstractNumId w:val="6"/>
  </w:num>
  <w:num w:numId="7">
    <w:abstractNumId w:val="4"/>
  </w:num>
  <w:num w:numId="8">
    <w:abstractNumId w:val="5"/>
  </w:num>
  <w:num w:numId="9">
    <w:abstractNumId w:val="0"/>
  </w:num>
  <w:num w:numId="10">
    <w:abstractNumId w:val="20"/>
  </w:num>
  <w:num w:numId="11">
    <w:abstractNumId w:val="21"/>
  </w:num>
  <w:num w:numId="12">
    <w:abstractNumId w:val="16"/>
  </w:num>
  <w:num w:numId="13">
    <w:abstractNumId w:val="2"/>
  </w:num>
  <w:num w:numId="14">
    <w:abstractNumId w:val="8"/>
  </w:num>
  <w:num w:numId="15">
    <w:abstractNumId w:val="19"/>
  </w:num>
  <w:num w:numId="16">
    <w:abstractNumId w:val="13"/>
  </w:num>
  <w:num w:numId="17">
    <w:abstractNumId w:val="1"/>
  </w:num>
  <w:num w:numId="18">
    <w:abstractNumId w:val="9"/>
  </w:num>
  <w:num w:numId="19">
    <w:abstractNumId w:val="14"/>
  </w:num>
  <w:num w:numId="20">
    <w:abstractNumId w:val="11"/>
  </w:num>
  <w:num w:numId="21">
    <w:abstractNumId w:val="3"/>
  </w:num>
  <w:num w:numId="22">
    <w:abstractNumId w:val="10"/>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F1"/>
    <w:rsid w:val="0000434D"/>
    <w:rsid w:val="00004525"/>
    <w:rsid w:val="0003315C"/>
    <w:rsid w:val="00053AF3"/>
    <w:rsid w:val="00070206"/>
    <w:rsid w:val="0008185B"/>
    <w:rsid w:val="000B603C"/>
    <w:rsid w:val="00102A0F"/>
    <w:rsid w:val="00131677"/>
    <w:rsid w:val="00131D63"/>
    <w:rsid w:val="001364ED"/>
    <w:rsid w:val="00166EB3"/>
    <w:rsid w:val="00171882"/>
    <w:rsid w:val="001842B3"/>
    <w:rsid w:val="00194995"/>
    <w:rsid w:val="001A669E"/>
    <w:rsid w:val="001B0F47"/>
    <w:rsid w:val="001C575F"/>
    <w:rsid w:val="001E0C21"/>
    <w:rsid w:val="001E1769"/>
    <w:rsid w:val="001E6727"/>
    <w:rsid w:val="001F0D0A"/>
    <w:rsid w:val="001F555F"/>
    <w:rsid w:val="002012F8"/>
    <w:rsid w:val="0020557E"/>
    <w:rsid w:val="00211D1B"/>
    <w:rsid w:val="00212DD1"/>
    <w:rsid w:val="00213523"/>
    <w:rsid w:val="002229E0"/>
    <w:rsid w:val="00235A3E"/>
    <w:rsid w:val="00251FE5"/>
    <w:rsid w:val="002537D2"/>
    <w:rsid w:val="002670E8"/>
    <w:rsid w:val="00273C3A"/>
    <w:rsid w:val="002906C4"/>
    <w:rsid w:val="00291134"/>
    <w:rsid w:val="00293A35"/>
    <w:rsid w:val="00295F3D"/>
    <w:rsid w:val="00296256"/>
    <w:rsid w:val="002B06B9"/>
    <w:rsid w:val="002F0BB9"/>
    <w:rsid w:val="00306290"/>
    <w:rsid w:val="00317771"/>
    <w:rsid w:val="00324EF1"/>
    <w:rsid w:val="003440D7"/>
    <w:rsid w:val="003A0DCA"/>
    <w:rsid w:val="003C4231"/>
    <w:rsid w:val="003F3FFF"/>
    <w:rsid w:val="004016F8"/>
    <w:rsid w:val="004145C8"/>
    <w:rsid w:val="00422F22"/>
    <w:rsid w:val="00433C04"/>
    <w:rsid w:val="00443790"/>
    <w:rsid w:val="00445EE6"/>
    <w:rsid w:val="004465B2"/>
    <w:rsid w:val="00447A57"/>
    <w:rsid w:val="00450B44"/>
    <w:rsid w:val="00467CF7"/>
    <w:rsid w:val="00483943"/>
    <w:rsid w:val="0049356A"/>
    <w:rsid w:val="004A2054"/>
    <w:rsid w:val="004B3944"/>
    <w:rsid w:val="004D363E"/>
    <w:rsid w:val="004D728D"/>
    <w:rsid w:val="004D773B"/>
    <w:rsid w:val="004E06A1"/>
    <w:rsid w:val="004F2B27"/>
    <w:rsid w:val="00506BE5"/>
    <w:rsid w:val="00506C63"/>
    <w:rsid w:val="005113BC"/>
    <w:rsid w:val="00512063"/>
    <w:rsid w:val="00513D00"/>
    <w:rsid w:val="005144B3"/>
    <w:rsid w:val="0051692E"/>
    <w:rsid w:val="00527664"/>
    <w:rsid w:val="00527D6E"/>
    <w:rsid w:val="00544231"/>
    <w:rsid w:val="00544BD2"/>
    <w:rsid w:val="00564169"/>
    <w:rsid w:val="00564DB4"/>
    <w:rsid w:val="0056530F"/>
    <w:rsid w:val="0056684F"/>
    <w:rsid w:val="00596388"/>
    <w:rsid w:val="005D2773"/>
    <w:rsid w:val="005E7FFE"/>
    <w:rsid w:val="006029CB"/>
    <w:rsid w:val="00605A10"/>
    <w:rsid w:val="006324D3"/>
    <w:rsid w:val="00643FB8"/>
    <w:rsid w:val="00646B37"/>
    <w:rsid w:val="00650356"/>
    <w:rsid w:val="00652186"/>
    <w:rsid w:val="00677625"/>
    <w:rsid w:val="006847B4"/>
    <w:rsid w:val="00685D48"/>
    <w:rsid w:val="00686A57"/>
    <w:rsid w:val="0068784D"/>
    <w:rsid w:val="00693A30"/>
    <w:rsid w:val="006A18E8"/>
    <w:rsid w:val="006C7A06"/>
    <w:rsid w:val="006E6880"/>
    <w:rsid w:val="007313A5"/>
    <w:rsid w:val="00731538"/>
    <w:rsid w:val="007723BF"/>
    <w:rsid w:val="00794DE6"/>
    <w:rsid w:val="007A36A7"/>
    <w:rsid w:val="007C30FA"/>
    <w:rsid w:val="007D7DC6"/>
    <w:rsid w:val="007E107C"/>
    <w:rsid w:val="00812CF4"/>
    <w:rsid w:val="00844200"/>
    <w:rsid w:val="00880D34"/>
    <w:rsid w:val="008A24C2"/>
    <w:rsid w:val="008B221B"/>
    <w:rsid w:val="008B3896"/>
    <w:rsid w:val="008C7A73"/>
    <w:rsid w:val="008D3D9C"/>
    <w:rsid w:val="00911462"/>
    <w:rsid w:val="00923C0B"/>
    <w:rsid w:val="009528A3"/>
    <w:rsid w:val="00971456"/>
    <w:rsid w:val="009748F2"/>
    <w:rsid w:val="0099065D"/>
    <w:rsid w:val="00993FBC"/>
    <w:rsid w:val="009B066B"/>
    <w:rsid w:val="009D6158"/>
    <w:rsid w:val="009E516F"/>
    <w:rsid w:val="00A012C5"/>
    <w:rsid w:val="00A01522"/>
    <w:rsid w:val="00A60433"/>
    <w:rsid w:val="00A665BF"/>
    <w:rsid w:val="00A67CFC"/>
    <w:rsid w:val="00A817A9"/>
    <w:rsid w:val="00A84DD0"/>
    <w:rsid w:val="00AA4B3E"/>
    <w:rsid w:val="00AA5139"/>
    <w:rsid w:val="00AA6BF3"/>
    <w:rsid w:val="00AB15B7"/>
    <w:rsid w:val="00AC6EA8"/>
    <w:rsid w:val="00AD04FA"/>
    <w:rsid w:val="00AE3240"/>
    <w:rsid w:val="00B028C6"/>
    <w:rsid w:val="00B207F6"/>
    <w:rsid w:val="00B5079D"/>
    <w:rsid w:val="00B52167"/>
    <w:rsid w:val="00B55A04"/>
    <w:rsid w:val="00B657C5"/>
    <w:rsid w:val="00BA632E"/>
    <w:rsid w:val="00BA75ED"/>
    <w:rsid w:val="00BB4331"/>
    <w:rsid w:val="00BB551A"/>
    <w:rsid w:val="00BC1B14"/>
    <w:rsid w:val="00BD5EF4"/>
    <w:rsid w:val="00BF2C30"/>
    <w:rsid w:val="00BF6FDD"/>
    <w:rsid w:val="00C075E2"/>
    <w:rsid w:val="00C10DC9"/>
    <w:rsid w:val="00C36DEF"/>
    <w:rsid w:val="00C70C06"/>
    <w:rsid w:val="00C9432C"/>
    <w:rsid w:val="00CA1607"/>
    <w:rsid w:val="00CC2969"/>
    <w:rsid w:val="00CC5C16"/>
    <w:rsid w:val="00D06B75"/>
    <w:rsid w:val="00D13D6A"/>
    <w:rsid w:val="00D142E7"/>
    <w:rsid w:val="00D40A15"/>
    <w:rsid w:val="00D42A2D"/>
    <w:rsid w:val="00D439B6"/>
    <w:rsid w:val="00D5398A"/>
    <w:rsid w:val="00D633B1"/>
    <w:rsid w:val="00DA0B9C"/>
    <w:rsid w:val="00DB1878"/>
    <w:rsid w:val="00DD4687"/>
    <w:rsid w:val="00DE2766"/>
    <w:rsid w:val="00DF1231"/>
    <w:rsid w:val="00DF7F2A"/>
    <w:rsid w:val="00E15FFC"/>
    <w:rsid w:val="00E1794D"/>
    <w:rsid w:val="00E23ED5"/>
    <w:rsid w:val="00E25162"/>
    <w:rsid w:val="00E53A80"/>
    <w:rsid w:val="00E71D8A"/>
    <w:rsid w:val="00E915EC"/>
    <w:rsid w:val="00EE3CEB"/>
    <w:rsid w:val="00EF2773"/>
    <w:rsid w:val="00EF3879"/>
    <w:rsid w:val="00EF5967"/>
    <w:rsid w:val="00F0772B"/>
    <w:rsid w:val="00F31216"/>
    <w:rsid w:val="00F83E47"/>
    <w:rsid w:val="00F846A9"/>
    <w:rsid w:val="00FA66DF"/>
    <w:rsid w:val="00FB0C96"/>
    <w:rsid w:val="00FB2DFF"/>
    <w:rsid w:val="00FE140E"/>
    <w:rsid w:val="00FE3FC6"/>
    <w:rsid w:val="00FF2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B569"/>
  <w15:chartTrackingRefBased/>
  <w15:docId w15:val="{B36EF534-F42E-4459-8382-121182DF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EF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75E2"/>
    <w:pPr>
      <w:suppressAutoHyphens/>
      <w:autoSpaceDN w:val="0"/>
      <w:ind w:left="720"/>
      <w:textAlignment w:val="baseline"/>
    </w:pPr>
  </w:style>
  <w:style w:type="character" w:styleId="CommentReference">
    <w:name w:val="annotation reference"/>
    <w:basedOn w:val="DefaultParagraphFont"/>
    <w:uiPriority w:val="99"/>
    <w:semiHidden/>
    <w:unhideWhenUsed/>
    <w:rsid w:val="00317771"/>
    <w:rPr>
      <w:sz w:val="16"/>
      <w:szCs w:val="16"/>
    </w:rPr>
  </w:style>
  <w:style w:type="paragraph" w:styleId="CommentText">
    <w:name w:val="annotation text"/>
    <w:basedOn w:val="Normal"/>
    <w:link w:val="CommentTextChar"/>
    <w:uiPriority w:val="99"/>
    <w:semiHidden/>
    <w:unhideWhenUsed/>
    <w:rsid w:val="00317771"/>
    <w:rPr>
      <w:sz w:val="20"/>
      <w:szCs w:val="20"/>
    </w:rPr>
  </w:style>
  <w:style w:type="character" w:customStyle="1" w:styleId="CommentTextChar">
    <w:name w:val="Comment Text Char"/>
    <w:basedOn w:val="DefaultParagraphFont"/>
    <w:link w:val="CommentText"/>
    <w:uiPriority w:val="99"/>
    <w:semiHidden/>
    <w:rsid w:val="0031777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17771"/>
    <w:rPr>
      <w:b/>
      <w:bCs/>
    </w:rPr>
  </w:style>
  <w:style w:type="character" w:customStyle="1" w:styleId="CommentSubjectChar">
    <w:name w:val="Comment Subject Char"/>
    <w:basedOn w:val="CommentTextChar"/>
    <w:link w:val="CommentSubject"/>
    <w:uiPriority w:val="99"/>
    <w:semiHidden/>
    <w:rsid w:val="0031777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317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71"/>
    <w:rPr>
      <w:rFonts w:ascii="Segoe UI" w:eastAsia="Times New Roman" w:hAnsi="Segoe UI" w:cs="Segoe UI"/>
      <w:sz w:val="18"/>
      <w:szCs w:val="18"/>
      <w:lang w:eastAsia="lv-LV"/>
    </w:rPr>
  </w:style>
  <w:style w:type="character" w:customStyle="1" w:styleId="st">
    <w:name w:val="st"/>
    <w:basedOn w:val="DefaultParagraphFont"/>
    <w:rsid w:val="00993FBC"/>
  </w:style>
  <w:style w:type="character" w:styleId="Hyperlink">
    <w:name w:val="Hyperlink"/>
    <w:basedOn w:val="DefaultParagraphFont"/>
    <w:uiPriority w:val="99"/>
    <w:semiHidden/>
    <w:unhideWhenUsed/>
    <w:rsid w:val="00443790"/>
    <w:rPr>
      <w:color w:val="0000FF"/>
      <w:u w:val="single"/>
    </w:rPr>
  </w:style>
  <w:style w:type="table" w:styleId="TableGrid">
    <w:name w:val="Table Grid"/>
    <w:basedOn w:val="TableNormal"/>
    <w:uiPriority w:val="39"/>
    <w:rsid w:val="004D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206"/>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842B3"/>
    <w:pPr>
      <w:tabs>
        <w:tab w:val="center" w:pos="4513"/>
        <w:tab w:val="right" w:pos="9026"/>
      </w:tabs>
    </w:pPr>
  </w:style>
  <w:style w:type="character" w:customStyle="1" w:styleId="HeaderChar">
    <w:name w:val="Header Char"/>
    <w:basedOn w:val="DefaultParagraphFont"/>
    <w:link w:val="Header"/>
    <w:uiPriority w:val="99"/>
    <w:rsid w:val="001842B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842B3"/>
    <w:pPr>
      <w:tabs>
        <w:tab w:val="center" w:pos="4513"/>
        <w:tab w:val="right" w:pos="9026"/>
      </w:tabs>
    </w:pPr>
  </w:style>
  <w:style w:type="character" w:customStyle="1" w:styleId="FooterChar">
    <w:name w:val="Footer Char"/>
    <w:basedOn w:val="DefaultParagraphFont"/>
    <w:link w:val="Footer"/>
    <w:uiPriority w:val="99"/>
    <w:rsid w:val="001842B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1474">
      <w:bodyDiv w:val="1"/>
      <w:marLeft w:val="0"/>
      <w:marRight w:val="0"/>
      <w:marTop w:val="0"/>
      <w:marBottom w:val="0"/>
      <w:divBdr>
        <w:top w:val="none" w:sz="0" w:space="0" w:color="auto"/>
        <w:left w:val="none" w:sz="0" w:space="0" w:color="auto"/>
        <w:bottom w:val="none" w:sz="0" w:space="0" w:color="auto"/>
        <w:right w:val="none" w:sz="0" w:space="0" w:color="auto"/>
      </w:divBdr>
    </w:div>
    <w:div w:id="658729964">
      <w:bodyDiv w:val="1"/>
      <w:marLeft w:val="0"/>
      <w:marRight w:val="0"/>
      <w:marTop w:val="0"/>
      <w:marBottom w:val="0"/>
      <w:divBdr>
        <w:top w:val="none" w:sz="0" w:space="0" w:color="auto"/>
        <w:left w:val="none" w:sz="0" w:space="0" w:color="auto"/>
        <w:bottom w:val="none" w:sz="0" w:space="0" w:color="auto"/>
        <w:right w:val="none" w:sz="0" w:space="0" w:color="auto"/>
      </w:divBdr>
    </w:div>
    <w:div w:id="9147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97/natureconservation.1.27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0C0E-4DA4-43FB-895D-0BE632E2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12380793</dc:creator>
  <cp:keywords/>
  <dc:description/>
  <cp:lastModifiedBy>Maksims Balalaikins</cp:lastModifiedBy>
  <cp:revision>3</cp:revision>
  <dcterms:created xsi:type="dcterms:W3CDTF">2020-11-16T14:50:00Z</dcterms:created>
  <dcterms:modified xsi:type="dcterms:W3CDTF">2020-11-18T18:44:00Z</dcterms:modified>
</cp:coreProperties>
</file>