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ED714" w14:textId="60C917D4" w:rsidR="00B20425" w:rsidRPr="00435F25" w:rsidRDefault="00803F88" w:rsidP="00435F25">
      <w:pPr>
        <w:pStyle w:val="Heading1"/>
        <w:spacing w:before="0" w:after="12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Dzeņu sugu</w:t>
      </w:r>
      <w:r w:rsidR="00197CFB" w:rsidRPr="00435F25">
        <w:rPr>
          <w:rFonts w:ascii="Times New Roman" w:hAnsi="Times New Roman" w:cs="Times New Roman"/>
          <w:b/>
          <w:color w:val="auto"/>
          <w:sz w:val="24"/>
          <w:szCs w:val="24"/>
        </w:rPr>
        <w:t xml:space="preserve"> ekoloģiskās nišas analīzēs izmantoto </w:t>
      </w:r>
      <w:proofErr w:type="spellStart"/>
      <w:r w:rsidR="00197CFB" w:rsidRPr="00435F25">
        <w:rPr>
          <w:rFonts w:ascii="Times New Roman" w:hAnsi="Times New Roman" w:cs="Times New Roman"/>
          <w:b/>
          <w:color w:val="auto"/>
          <w:sz w:val="24"/>
          <w:szCs w:val="24"/>
        </w:rPr>
        <w:t>ekoģeogrāfisko</w:t>
      </w:r>
      <w:proofErr w:type="spellEnd"/>
      <w:r w:rsidR="00197CFB" w:rsidRPr="00435F25">
        <w:rPr>
          <w:rFonts w:ascii="Times New Roman" w:hAnsi="Times New Roman" w:cs="Times New Roman"/>
          <w:b/>
          <w:color w:val="auto"/>
          <w:sz w:val="24"/>
          <w:szCs w:val="24"/>
        </w:rPr>
        <w:t xml:space="preserve"> mainīgo apraksts</w:t>
      </w:r>
    </w:p>
    <w:p w14:paraId="7DAA0D72" w14:textId="76E3222D" w:rsidR="00443B47" w:rsidRDefault="006D793C" w:rsidP="00435F25">
      <w:pPr>
        <w:pStyle w:val="Teksts"/>
        <w:spacing w:after="120" w:line="240" w:lineRule="auto"/>
      </w:pPr>
      <w:r>
        <w:t xml:space="preserve">Izejas dati, kas izmantoti </w:t>
      </w:r>
      <w:r w:rsidR="00803F88">
        <w:t>dzeņu sugu</w:t>
      </w:r>
      <w:r>
        <w:t xml:space="preserve"> aizsardzības plāna ekoloģiskās nišas un biotopu piemērotības modeļiem nepieciešamo </w:t>
      </w:r>
      <w:proofErr w:type="spellStart"/>
      <w:r>
        <w:t>ekoģeogrāfisko</w:t>
      </w:r>
      <w:proofErr w:type="spellEnd"/>
      <w:r>
        <w:t xml:space="preserve"> mainīgo sagatavošanai, iegūti no Dabas aizsardzības pārvaldes un Latvijas Universitātes projekta “</w:t>
      </w:r>
      <w:r w:rsidRPr="000B7170">
        <w:t>Mežu, piekrastes un iekšzemes ūdeņu bioloģiskā daudzveidība un to aizsardzība</w:t>
      </w:r>
      <w:r>
        <w:t>” (</w:t>
      </w:r>
      <w:proofErr w:type="spellStart"/>
      <w:r>
        <w:t>EVIDEnT</w:t>
      </w:r>
      <w:proofErr w:type="spellEnd"/>
      <w:r>
        <w:t xml:space="preserve">). Vides dati iegūti kā pārveidots produkts (visa informācija ir saņemta </w:t>
      </w:r>
      <w:proofErr w:type="spellStart"/>
      <w:r>
        <w:t>rasterizētā</w:t>
      </w:r>
      <w:proofErr w:type="spellEnd"/>
      <w:r>
        <w:t xml:space="preserve"> formā ar 25m šūnas izmēru) no </w:t>
      </w:r>
      <w:proofErr w:type="spellStart"/>
      <w:r>
        <w:t>vektordatu</w:t>
      </w:r>
      <w:proofErr w:type="spellEnd"/>
      <w:r>
        <w:t xml:space="preserve"> </w:t>
      </w:r>
      <w:proofErr w:type="spellStart"/>
      <w:r>
        <w:t>ģeodatubāzēm</w:t>
      </w:r>
      <w:proofErr w:type="spellEnd"/>
      <w:r>
        <w:t xml:space="preserve">: Lauku atbalsta dienesta (LAD) klientu lauku un lauku bloku datubāzēm, Valsts meža dienesta Meža valsts reģistra (MVR), Latvijas Ģeotelpiskās informācijas aģentūras (LĢIA) topogrāfiskās kartes M1:10000. Papildus tam, izmantota brīvpieejas informācija par koku segumiem no www.globalforestwatch.org. Pielietotās modelēšanas procedūras tiek īstenotas ar rastra informāciju. Šī projekta ietvaros izmantoti vides apraksti 500m analīzes šūnās, tomēr informācija tajās ir ietverta kā agregācija no plašākas apkārtnes jeb ainavas raksturojumiem un mazākiem par šūnu objektiem. Katrs izejas rastrs aptver visu valsts teritoriju, tiem visiem pikseļi atrodas vienās un tajās pašās vietās. </w:t>
      </w:r>
      <w:r w:rsidR="00443B47">
        <w:t>Š</w:t>
      </w:r>
      <w:r>
        <w:t xml:space="preserve">ie faili ir izmantoti, lai iegūtu vides akumulāciju (pārstāvniecība vai kāds aprakstošās statistikas mērs) vai plašākas ainavas agregāciju (dažāda rādiusa ap analīzes šūnas centra 25m šūnu veikti ainavu ekoloģijā raksturīgākie apraksti) analīzes šūnā. </w:t>
      </w:r>
      <w:r w:rsidRPr="00102772">
        <w:t xml:space="preserve">Vides akumulācijas ir gatavotas programmā </w:t>
      </w:r>
      <w:proofErr w:type="spellStart"/>
      <w:r w:rsidRPr="00102772">
        <w:t>ArcGIS</w:t>
      </w:r>
      <w:proofErr w:type="spellEnd"/>
      <w:r w:rsidRPr="00102772">
        <w:t xml:space="preserve"> 10.4.1</w:t>
      </w:r>
      <w:r>
        <w:t xml:space="preserve"> </w:t>
      </w:r>
      <w:r>
        <w:fldChar w:fldCharType="begin" w:fldLock="1"/>
      </w:r>
      <w:r>
        <w:instrText>ADDIN CSL_CITATION {"citationItems":[{"id":"ITEM-1","itemData":{"author":[{"dropping-particle":"","family":"ESRI","given":"","non-dropping-particle":"","parse-names":false,"suffix":""}],"id":"ITEM-1","issued":{"date-parts":[["2016"]]},"number":"10.4.1.","publisher":"Environmental Systems Research Institute","publisher-place":"Redlands, CA","title":"ArcGIS Desktop: Release 10.4.1.","type":"article"},"uris":["http://www.mendeley.com/documents/?uuid=b29e983d-d8ac-37e5-8eda-3c65e1ab2993"]}],"mendeley":{"formattedCitation":"(ESRI, 2016)","plainTextFormattedCitation":"(ESRI, 2016)","previouslyFormattedCitation":"(ESRI, 2016)"},"properties":{"noteIndex":0},"schema":"https://github.com/citation-style-language/schema/raw/master/csl-citation.json"}</w:instrText>
      </w:r>
      <w:r>
        <w:fldChar w:fldCharType="separate"/>
      </w:r>
      <w:r w:rsidR="00C6291F">
        <w:rPr>
          <w:noProof/>
        </w:rPr>
        <w:t>(ESRI</w:t>
      </w:r>
      <w:r w:rsidRPr="00102772">
        <w:rPr>
          <w:noProof/>
        </w:rPr>
        <w:t xml:space="preserve"> 2016)</w:t>
      </w:r>
      <w:r>
        <w:fldChar w:fldCharType="end"/>
      </w:r>
      <w:r w:rsidRPr="00102772">
        <w:t xml:space="preserve">. Ainavas agregācijas gatavotas programmās </w:t>
      </w:r>
      <w:proofErr w:type="spellStart"/>
      <w:r w:rsidRPr="00102772">
        <w:t>Fragstats</w:t>
      </w:r>
      <w:proofErr w:type="spellEnd"/>
      <w:r w:rsidRPr="00102772">
        <w:t xml:space="preserve"> 4.2 </w:t>
      </w:r>
      <w:r>
        <w:fldChar w:fldCharType="begin" w:fldLock="1"/>
      </w:r>
      <w:r>
        <w:instrText>ADDIN CSL_CITATION {"citationItems":[{"id":"ITEM-1","itemData":{"author":[{"dropping-particle":"","family":"Mcgarigal","given":"Kevin","non-dropping-particle":"","parse-names":false,"suffix":""}],"id":"ITEM-1","issued":{"date-parts":[["2015"]]},"number-of-pages":"182","publisher-place":"Amherst","title":"FRAGSTATS HELP","type":"report"},"uris":["http://www.mendeley.com/documents/?uuid=b56f217c-66cf-3a35-b6e3-5adbfb32a150"]}],"mendeley":{"formattedCitation":"(Mcgarigal, 2015)","plainTextFormattedCitation":"(Mcgarigal, 2015)","previouslyFormattedCitation":"(Mcgarigal, 2015)"},"properties":{"noteIndex":0},"schema":"https://github.com/citation-style-language/schema/raw/master/csl-citation.json"}</w:instrText>
      </w:r>
      <w:r>
        <w:fldChar w:fldCharType="separate"/>
      </w:r>
      <w:r w:rsidR="001F54FB">
        <w:rPr>
          <w:noProof/>
        </w:rPr>
        <w:t>(Mcgarigal</w:t>
      </w:r>
      <w:r w:rsidRPr="00102772">
        <w:rPr>
          <w:noProof/>
        </w:rPr>
        <w:t xml:space="preserve"> 2015)</w:t>
      </w:r>
      <w:r>
        <w:fldChar w:fldCharType="end"/>
      </w:r>
      <w:r w:rsidRPr="00102772">
        <w:t xml:space="preserve">. Datu </w:t>
      </w:r>
      <w:proofErr w:type="spellStart"/>
      <w:r w:rsidRPr="00102772">
        <w:t>procesēšanai</w:t>
      </w:r>
      <w:proofErr w:type="spellEnd"/>
      <w:r w:rsidRPr="00102772">
        <w:t xml:space="preserve"> izmantotas programmas R 3.6.</w:t>
      </w:r>
      <w:r w:rsidR="0095240E">
        <w:t>2</w:t>
      </w:r>
      <w:r w:rsidRPr="00102772">
        <w:t xml:space="preserve"> </w:t>
      </w:r>
      <w:r>
        <w:fldChar w:fldCharType="begin" w:fldLock="1"/>
      </w:r>
      <w:r w:rsidR="0095240E">
        <w:instrText>ADDIN CSL_CITATION {"citationItems":[{"id":"ITEM-1","itemData":{"author":[{"dropping-particle":"","family":"R Development Core Team","given":"","non-dropping-particle":"","parse-names":false,"suffix":""}],"id":"ITEM-1","issued":{"date-parts":[["2016"]]},"publisher":"R Foundation for Statistical Computing","publisher-place":"Vienna, Austria","title":"R: A Language and Environment for Statistical Computing","type":"article"},"uris":["http://www.mendeley.com/documents/?uuid=d7677250-177c-366d-bae2-58eaf1a82c35"]}],"mendeley":{"formattedCitation":"(R Development Core Team, 2016)","manualFormatting":"(R Development Core Team, 2019)","plainTextFormattedCitation":"(R Development Core Team, 2016)","previouslyFormattedCitation":"(R Development Core Team, 2016)"},"properties":{"noteIndex":0},"schema":"https://github.com/citation-style-language/schema/raw/master/csl-citation.json"}</w:instrText>
      </w:r>
      <w:r>
        <w:fldChar w:fldCharType="separate"/>
      </w:r>
      <w:r w:rsidR="00C6291F">
        <w:rPr>
          <w:noProof/>
        </w:rPr>
        <w:t>(R Development Core Team</w:t>
      </w:r>
      <w:r w:rsidRPr="00102772">
        <w:rPr>
          <w:noProof/>
        </w:rPr>
        <w:t xml:space="preserve"> 201</w:t>
      </w:r>
      <w:r w:rsidR="0095240E">
        <w:rPr>
          <w:noProof/>
        </w:rPr>
        <w:t>9</w:t>
      </w:r>
      <w:r w:rsidRPr="00102772">
        <w:rPr>
          <w:noProof/>
        </w:rPr>
        <w:t>)</w:t>
      </w:r>
      <w:r>
        <w:fldChar w:fldCharType="end"/>
      </w:r>
      <w:r>
        <w:t xml:space="preserve">, ERDAS </w:t>
      </w:r>
      <w:r>
        <w:fldChar w:fldCharType="begin" w:fldLock="1"/>
      </w:r>
      <w:r>
        <w:instrText>ADDIN CSL_CITATION {"citationItems":[{"id":"ITEM-1","itemData":{"author":[{"dropping-particle":"","family":"ERDAS","given":"","non-dropping-particle":"","parse-names":false,"suffix":""}],"id":"ITEM-1","issue":"November","issued":{"date-parts":[["2009"]]},"page":"810","title":"ERDAS Field Guide ™ - Tutorial","type":"article-journal"},"uris":["http://www.mendeley.com/documents/?uuid=ce15a3b9-043b-4d60-9b03-72771460cb3f"]}],"mendeley":{"formattedCitation":"(ERDAS, 2009)","plainTextFormattedCitation":"(ERDAS, 2009)","previouslyFormattedCitation":"(ERDAS, 2009)"},"properties":{"noteIndex":0},"schema":"https://github.com/citation-style-language/schema/raw/master/csl-citation.json"}</w:instrText>
      </w:r>
      <w:r>
        <w:fldChar w:fldCharType="separate"/>
      </w:r>
      <w:r w:rsidR="001F54FB">
        <w:rPr>
          <w:noProof/>
        </w:rPr>
        <w:t>(ERDAS</w:t>
      </w:r>
      <w:r w:rsidRPr="00102772">
        <w:rPr>
          <w:noProof/>
        </w:rPr>
        <w:t xml:space="preserve"> 2009)</w:t>
      </w:r>
      <w:r>
        <w:fldChar w:fldCharType="end"/>
      </w:r>
      <w:r>
        <w:t xml:space="preserve"> </w:t>
      </w:r>
      <w:r w:rsidRPr="00102772">
        <w:t xml:space="preserve">un </w:t>
      </w:r>
      <w:proofErr w:type="spellStart"/>
      <w:r w:rsidRPr="00102772">
        <w:t>ArcGIS</w:t>
      </w:r>
      <w:proofErr w:type="spellEnd"/>
      <w:r w:rsidRPr="00102772">
        <w:t xml:space="preserve"> 10.4.1</w:t>
      </w:r>
      <w:r>
        <w:t xml:space="preserve"> </w:t>
      </w:r>
      <w:r>
        <w:fldChar w:fldCharType="begin" w:fldLock="1"/>
      </w:r>
      <w:r>
        <w:instrText>ADDIN CSL_CITATION {"citationItems":[{"id":"ITEM-1","itemData":{"author":[{"dropping-particle":"","family":"ESRI","given":"","non-dropping-particle":"","parse-names":false,"suffix":""}],"id":"ITEM-1","issued":{"date-parts":[["2016"]]},"number":"10.4.1.","publisher":"Environmental Systems Research Institute","publisher-place":"Redlands, CA","title":"ArcGIS Desktop: Release 10.4.1.","type":"article"},"uris":["http://www.mendeley.com/documents/?uuid=b29e983d-d8ac-37e5-8eda-3c65e1ab2993"]}],"mendeley":{"formattedCitation":"(ESRI, 2016)","plainTextFormattedCitation":"(ESRI, 2016)","previouslyFormattedCitation":"(ESRI, 2016)"},"properties":{"noteIndex":0},"schema":"https://github.com/citation-style-language/schema/raw/master/csl-citation.json"}</w:instrText>
      </w:r>
      <w:r>
        <w:fldChar w:fldCharType="separate"/>
      </w:r>
      <w:r w:rsidR="001F54FB">
        <w:rPr>
          <w:noProof/>
        </w:rPr>
        <w:t>(ESRI</w:t>
      </w:r>
      <w:r w:rsidRPr="00102772">
        <w:rPr>
          <w:noProof/>
        </w:rPr>
        <w:t xml:space="preserve"> 2016)</w:t>
      </w:r>
      <w:r>
        <w:fldChar w:fldCharType="end"/>
      </w:r>
      <w:r w:rsidRPr="00102772">
        <w:t>.</w:t>
      </w:r>
      <w:r>
        <w:t xml:space="preserve"> Šajā projektā analīzēm izmantoto </w:t>
      </w:r>
      <w:proofErr w:type="spellStart"/>
      <w:r>
        <w:t>ekoģeogrāfisko</w:t>
      </w:r>
      <w:proofErr w:type="spellEnd"/>
      <w:r>
        <w:t xml:space="preserve"> mainīgo saraksts ir uzskaitīts zemāk, sniedzot katra izveidošanas un ietvertās informācijas aprakstu.</w:t>
      </w:r>
    </w:p>
    <w:p w14:paraId="3281F295" w14:textId="3F57B9E0" w:rsidR="006D793C" w:rsidRDefault="006D793C" w:rsidP="00435F25">
      <w:pPr>
        <w:pStyle w:val="Teksts"/>
        <w:spacing w:after="120" w:line="240" w:lineRule="auto"/>
      </w:pPr>
      <w:r w:rsidRPr="00552183">
        <w:rPr>
          <w:b/>
          <w:bCs/>
        </w:rPr>
        <w:t xml:space="preserve">Apses īpatsvars mežaudžu </w:t>
      </w:r>
      <w:proofErr w:type="spellStart"/>
      <w:r w:rsidRPr="00552183">
        <w:rPr>
          <w:b/>
          <w:bCs/>
        </w:rPr>
        <w:t>krājā</w:t>
      </w:r>
      <w:proofErr w:type="spellEnd"/>
      <w:r w:rsidRPr="00552183">
        <w:rPr>
          <w:b/>
          <w:bCs/>
        </w:rPr>
        <w:t xml:space="preserve"> 25ha ainavā</w:t>
      </w:r>
      <w:r>
        <w:t xml:space="preserve"> – vidējais (analīzes šūnā) apses krājas īpatsvars no kopējās krājas izejas rastra 25m šūnās. </w:t>
      </w:r>
      <w:proofErr w:type="spellStart"/>
      <w:r>
        <w:t>ArcGIS</w:t>
      </w:r>
      <w:proofErr w:type="spellEnd"/>
      <w:r>
        <w:t xml:space="preserve"> funkcija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620B0504" w14:textId="2382A9BB" w:rsidR="006D793C" w:rsidRDefault="006D793C" w:rsidP="00435F25">
      <w:pPr>
        <w:pStyle w:val="Teksts"/>
        <w:spacing w:after="120" w:line="240" w:lineRule="auto"/>
      </w:pPr>
      <w:r w:rsidRPr="0074698C">
        <w:rPr>
          <w:b/>
          <w:bCs/>
        </w:rPr>
        <w:t>Ar kokiem klātās platības 25ha ainavā</w:t>
      </w:r>
      <w:r>
        <w:t xml:space="preserve"> – Izmantojot </w:t>
      </w:r>
      <w:hyperlink r:id="rId6" w:history="1">
        <w:r w:rsidRPr="00C646C4">
          <w:rPr>
            <w:rStyle w:val="Hyperlink"/>
          </w:rPr>
          <w:t>www.globalforestwatch.org</w:t>
        </w:r>
      </w:hyperlink>
      <w:r>
        <w:t xml:space="preserve"> materiālus, aprēķinātas ar kokiem klātās platības (no vietām, kurās bijis koku segums (lielāks par 1) 2000. gadā, atņemtas vietas, kurās tas ir zudis</w:t>
      </w:r>
      <w:proofErr w:type="gramStart"/>
      <w:r>
        <w:t xml:space="preserve"> līdz 2017. gadam un pieskaitīta seguma uzrašanās līdz 2017. gadam</w:t>
      </w:r>
      <w:proofErr w:type="gramEnd"/>
      <w:r>
        <w:t xml:space="preserve">). Akumulācija analīzes šūnā: </w:t>
      </w:r>
      <w:proofErr w:type="spellStart"/>
      <w:r>
        <w:t>ArcGIS</w:t>
      </w:r>
      <w:proofErr w:type="spellEnd"/>
      <w:r>
        <w:t xml:space="preserve"> funkcija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313DB510" w14:textId="66B63F3A" w:rsidR="006D793C" w:rsidRDefault="006D793C" w:rsidP="00435F25">
      <w:pPr>
        <w:pStyle w:val="Teksts"/>
        <w:spacing w:after="120" w:line="240" w:lineRule="auto"/>
      </w:pPr>
      <w:r w:rsidRPr="00D9212F">
        <w:rPr>
          <w:b/>
          <w:bCs/>
        </w:rPr>
        <w:t xml:space="preserve">Egles īpatsvars mežaudžu </w:t>
      </w:r>
      <w:proofErr w:type="spellStart"/>
      <w:r w:rsidRPr="00D9212F">
        <w:rPr>
          <w:b/>
          <w:bCs/>
        </w:rPr>
        <w:t>krājā</w:t>
      </w:r>
      <w:proofErr w:type="spellEnd"/>
      <w:r w:rsidRPr="00D9212F">
        <w:rPr>
          <w:b/>
          <w:bCs/>
        </w:rPr>
        <w:t xml:space="preserve"> 25ha ainavā</w:t>
      </w:r>
      <w:r>
        <w:t xml:space="preserve"> – vidējais (analīzes šūnā) egles (visu veidu) krājas īpatsvars no kopējās krājas izejas rastra 25m šūnās. </w:t>
      </w:r>
      <w:proofErr w:type="spellStart"/>
      <w:r>
        <w:t>ArcGIS</w:t>
      </w:r>
      <w:proofErr w:type="spellEnd"/>
      <w:r>
        <w:t xml:space="preserve"> funkcija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2ABE1BD6" w14:textId="78A47B2B" w:rsidR="006D793C" w:rsidRDefault="006D793C" w:rsidP="00435F25">
      <w:pPr>
        <w:pStyle w:val="Teksts"/>
        <w:spacing w:after="120" w:line="240" w:lineRule="auto"/>
      </w:pPr>
      <w:r w:rsidRPr="0074698C">
        <w:rPr>
          <w:b/>
          <w:bCs/>
        </w:rPr>
        <w:t>Izcirtumu un jaunaudžu, kas zemākas par 5m, platība 490ha ainavā</w:t>
      </w:r>
      <w:r>
        <w:t xml:space="preserve"> – MVR reģistrēto izcirtumu un jaunaudžu, kas zemākas par 5m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3354FA21" w14:textId="59161E6D" w:rsidR="006D793C" w:rsidRDefault="006D793C" w:rsidP="00435F25">
      <w:pPr>
        <w:pStyle w:val="Teksts"/>
        <w:spacing w:after="120" w:line="240" w:lineRule="auto"/>
      </w:pPr>
      <w:r w:rsidRPr="00AB3406">
        <w:rPr>
          <w:b/>
          <w:bCs/>
        </w:rPr>
        <w:t>Jauktu koku pieaugušu un pāraugušu mežaudžu platība 490ha ainavā</w:t>
      </w:r>
      <w:r>
        <w:t xml:space="preserve"> – jauktu koku (skujkoku krājas koeficientu summa &gt;=3 un lapu koku krājas koeficientu summa &gt;=3) mežu, kas reģistrēti kā pieaugušas</w:t>
      </w:r>
      <w:proofErr w:type="gramStart"/>
      <w:r>
        <w:t xml:space="preserve"> vai pāraugušas mežaudzes, platība 1250m rādiusā ap analīzes šūnas centrālo 25m pikseli</w:t>
      </w:r>
      <w:proofErr w:type="gramEnd"/>
      <w:r>
        <w:t xml:space="preserve">.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5E0C9AD4" w14:textId="409A148A" w:rsidR="006D793C" w:rsidRDefault="006D793C" w:rsidP="00435F25">
      <w:pPr>
        <w:pStyle w:val="Teksts"/>
        <w:spacing w:after="120" w:line="240" w:lineRule="auto"/>
      </w:pPr>
      <w:r w:rsidRPr="00AB3406">
        <w:rPr>
          <w:b/>
          <w:bCs/>
        </w:rPr>
        <w:t xml:space="preserve">Jauktu koku vidēja vecuma un </w:t>
      </w:r>
      <w:proofErr w:type="spellStart"/>
      <w:r w:rsidRPr="00AB3406">
        <w:rPr>
          <w:b/>
          <w:bCs/>
        </w:rPr>
        <w:t>briestaudžu</w:t>
      </w:r>
      <w:proofErr w:type="spellEnd"/>
      <w:r w:rsidRPr="00AB3406">
        <w:rPr>
          <w:b/>
          <w:bCs/>
        </w:rPr>
        <w:t xml:space="preserve"> platība 490ha ainavā</w:t>
      </w:r>
      <w:r>
        <w:t xml:space="preserve"> – jauktu koku (skujkoku krājas koeficientu summa &gt;=3 un lapu koku krājas koeficientu summa &gt;=3) mežu, kas reģistrēti kā vidēja vecuma vai </w:t>
      </w:r>
      <w:proofErr w:type="spellStart"/>
      <w:r>
        <w:t>briestaudzes</w:t>
      </w:r>
      <w:proofErr w:type="spellEnd"/>
      <w:r>
        <w:t xml:space="preserve">,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249CA4DD" w14:textId="7212BCE9" w:rsidR="006D793C" w:rsidRDefault="006D793C" w:rsidP="00435F25">
      <w:pPr>
        <w:pStyle w:val="Teksts"/>
        <w:spacing w:after="120" w:line="240" w:lineRule="auto"/>
      </w:pPr>
      <w:r w:rsidRPr="00AB3406">
        <w:rPr>
          <w:b/>
          <w:bCs/>
        </w:rPr>
        <w:t>Jaunaudžu virs 5m augstumā un krūmāju platība 490ha ainavā</w:t>
      </w:r>
      <w:r>
        <w:t xml:space="preserve"> – MVR jaunaudžu, kas augstākas par 5m un LĢIA topogrāfiskās kartes krūmāju,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286D70B4" w14:textId="53E61B1F" w:rsidR="006D793C" w:rsidRDefault="006D793C" w:rsidP="00435F25">
      <w:pPr>
        <w:pStyle w:val="Teksts"/>
        <w:spacing w:after="120" w:line="240" w:lineRule="auto"/>
      </w:pPr>
      <w:r w:rsidRPr="00437170">
        <w:rPr>
          <w:b/>
          <w:bCs/>
        </w:rPr>
        <w:lastRenderedPageBreak/>
        <w:t>Laiks kopš pēdējā ar koku ciršanu vai stādīšanu saistītā traucējuma mežaudzēs 25ha ainavā</w:t>
      </w:r>
      <w:r>
        <w:t xml:space="preserve"> – Laiks no pēdējās darbības vai pēdējās ciršanas (nesenākā notikuma) līdz 2017. gadam, ja nav norādīta ne pēdējā darbība, ne pēdējā ciršana, par pēdējo notikumu pieņemts audzes izveidošanās gads. Mazākā izejas datu vērtība analīzes šūnā iegūta ar </w:t>
      </w:r>
      <w:proofErr w:type="spellStart"/>
      <w:r>
        <w:t>ar</w:t>
      </w:r>
      <w:proofErr w:type="spellEnd"/>
      <w:r>
        <w:t xml:space="preserve"> </w:t>
      </w:r>
      <w:proofErr w:type="spellStart"/>
      <w:r>
        <w:t>ArcGIS</w:t>
      </w:r>
      <w:proofErr w:type="spellEnd"/>
      <w:r>
        <w:t xml:space="preserve"> funkciju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777FCE03" w14:textId="67FCADC2" w:rsidR="006D793C" w:rsidRDefault="006D793C" w:rsidP="00435F25">
      <w:pPr>
        <w:pStyle w:val="Teksts"/>
        <w:spacing w:after="120" w:line="240" w:lineRule="auto"/>
      </w:pPr>
      <w:r w:rsidRPr="00C32200">
        <w:rPr>
          <w:b/>
          <w:bCs/>
        </w:rPr>
        <w:t>Lielākais koku diametrs 25ha ainavā</w:t>
      </w:r>
      <w:r>
        <w:t xml:space="preserve"> – Lielākais mežaudzē esoš</w:t>
      </w:r>
      <w:r w:rsidR="00B6547D">
        <w:t>o</w:t>
      </w:r>
      <w:r>
        <w:t xml:space="preserve"> kok</w:t>
      </w:r>
      <w:r w:rsidR="00B6547D">
        <w:t>u</w:t>
      </w:r>
      <w:r>
        <w:t xml:space="preserve"> diametrs norādīts kā izejas datu vērtība. Lielākā izejas datu vērtība analīzes šūnā iegūta ar </w:t>
      </w:r>
      <w:proofErr w:type="spellStart"/>
      <w:r>
        <w:t>ar</w:t>
      </w:r>
      <w:proofErr w:type="spellEnd"/>
      <w:r>
        <w:t xml:space="preserve"> </w:t>
      </w:r>
      <w:proofErr w:type="spellStart"/>
      <w:r>
        <w:t>ArcGIS</w:t>
      </w:r>
      <w:proofErr w:type="spellEnd"/>
      <w:r>
        <w:t xml:space="preserve"> funkciju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3F15A1A4" w14:textId="7338A693" w:rsidR="006D793C" w:rsidRDefault="006D793C" w:rsidP="00435F25">
      <w:pPr>
        <w:pStyle w:val="Teksts"/>
        <w:spacing w:after="120" w:line="240" w:lineRule="auto"/>
      </w:pPr>
      <w:r w:rsidRPr="0074698C">
        <w:rPr>
          <w:b/>
          <w:bCs/>
        </w:rPr>
        <w:t>Mitrāju platība 25ha ainavā</w:t>
      </w:r>
      <w:r>
        <w:t xml:space="preserve"> – MVR reģistrēto purvu kategoriju un pārplūstošo klajumu un LĢIA topogrāfiskajā kartē reģistrēto sūnāju un grīslāju kategoriju pikseļu summa, izmantojot </w:t>
      </w:r>
      <w:proofErr w:type="spellStart"/>
      <w:r>
        <w:t>ArcGIS</w:t>
      </w:r>
      <w:proofErr w:type="spellEnd"/>
      <w:r>
        <w:t xml:space="preserve"> funkciju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0BBDB7A6" w14:textId="5F5B54B4" w:rsidR="006D793C" w:rsidRDefault="006D793C" w:rsidP="00435F25">
      <w:pPr>
        <w:pStyle w:val="Teksts"/>
        <w:spacing w:after="120" w:line="240" w:lineRule="auto"/>
      </w:pPr>
      <w:r w:rsidRPr="0074698C">
        <w:rPr>
          <w:b/>
          <w:bCs/>
        </w:rPr>
        <w:t>Parku, kapu ar kokiem un aleju platība 25ha ainavā</w:t>
      </w:r>
      <w:r>
        <w:t xml:space="preserve"> - LĢIA topogrāfiskajā kartē reģistrēto parku, aleju un ar kokiem klāto kapu saturošo pikseļu summa, izmantojot </w:t>
      </w:r>
      <w:proofErr w:type="spellStart"/>
      <w:r>
        <w:t>ArcGIS</w:t>
      </w:r>
      <w:proofErr w:type="spellEnd"/>
      <w:r>
        <w:t xml:space="preserve"> funkciju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6EFFF9DC" w14:textId="4DCD6E9B" w:rsidR="006D793C" w:rsidRDefault="006D793C" w:rsidP="00435F25">
      <w:pPr>
        <w:pStyle w:val="Teksts"/>
        <w:spacing w:after="120" w:line="240" w:lineRule="auto"/>
      </w:pPr>
      <w:r w:rsidRPr="00C977EB">
        <w:rPr>
          <w:b/>
          <w:bCs/>
        </w:rPr>
        <w:t xml:space="preserve">Platlapju īpatsvars mežaudžu </w:t>
      </w:r>
      <w:proofErr w:type="spellStart"/>
      <w:r w:rsidRPr="00C977EB">
        <w:rPr>
          <w:b/>
          <w:bCs/>
        </w:rPr>
        <w:t>krājā</w:t>
      </w:r>
      <w:proofErr w:type="spellEnd"/>
      <w:r w:rsidRPr="00C977EB">
        <w:rPr>
          <w:b/>
          <w:bCs/>
        </w:rPr>
        <w:t xml:space="preserve"> 25ha ainavā</w:t>
      </w:r>
      <w:r>
        <w:t xml:space="preserve"> – platlapu koku (saīsinājumi: </w:t>
      </w:r>
      <w:proofErr w:type="spellStart"/>
      <w:r>
        <w:t>Oz</w:t>
      </w:r>
      <w:proofErr w:type="spellEnd"/>
      <w:r>
        <w:t xml:space="preserve">, </w:t>
      </w:r>
      <w:proofErr w:type="spellStart"/>
      <w:r>
        <w:t>Os</w:t>
      </w:r>
      <w:proofErr w:type="spellEnd"/>
      <w:r>
        <w:t xml:space="preserve">, L, G, </w:t>
      </w:r>
      <w:proofErr w:type="spellStart"/>
      <w:r>
        <w:t>Ds</w:t>
      </w:r>
      <w:proofErr w:type="spellEnd"/>
      <w:r>
        <w:t xml:space="preserve">, </w:t>
      </w:r>
      <w:proofErr w:type="spellStart"/>
      <w:r>
        <w:t>Sk</w:t>
      </w:r>
      <w:proofErr w:type="spellEnd"/>
      <w:r>
        <w:t xml:space="preserve">, K, </w:t>
      </w:r>
      <w:proofErr w:type="spellStart"/>
      <w:r>
        <w:t>Ozc</w:t>
      </w:r>
      <w:proofErr w:type="spellEnd"/>
      <w:r>
        <w:t xml:space="preserve">, </w:t>
      </w:r>
      <w:proofErr w:type="spellStart"/>
      <w:r>
        <w:t>Lc</w:t>
      </w:r>
      <w:proofErr w:type="spellEnd"/>
      <w:r>
        <w:t xml:space="preserve">, </w:t>
      </w:r>
      <w:proofErr w:type="spellStart"/>
      <w:r>
        <w:t>Kc</w:t>
      </w:r>
      <w:proofErr w:type="spellEnd"/>
      <w:r>
        <w:t xml:space="preserve">, </w:t>
      </w:r>
      <w:proofErr w:type="spellStart"/>
      <w:r>
        <w:t>Osc</w:t>
      </w:r>
      <w:proofErr w:type="spellEnd"/>
      <w:r>
        <w:t xml:space="preserve">, </w:t>
      </w:r>
      <w:proofErr w:type="spellStart"/>
      <w:r>
        <w:t>Gc</w:t>
      </w:r>
      <w:proofErr w:type="spellEnd"/>
      <w:r>
        <w:t xml:space="preserve">) krājas īpatsvars no kopējās krājas izejas rastra 25m šūnās. </w:t>
      </w:r>
      <w:proofErr w:type="spellStart"/>
      <w:r>
        <w:t>ArcGIS</w:t>
      </w:r>
      <w:proofErr w:type="spellEnd"/>
      <w:r>
        <w:t xml:space="preserve"> funkcija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336798C6" w14:textId="5D191BC1" w:rsidR="006D793C" w:rsidRDefault="006D793C" w:rsidP="00435F25">
      <w:pPr>
        <w:pStyle w:val="Teksts"/>
        <w:spacing w:after="120" w:line="240" w:lineRule="auto"/>
      </w:pPr>
      <w:r w:rsidRPr="00C977EB">
        <w:rPr>
          <w:b/>
          <w:bCs/>
        </w:rPr>
        <w:t>Platlapju pieaugušu un pāraugušu mežaudžu platība 490ha ainavā</w:t>
      </w:r>
      <w:r>
        <w:t xml:space="preserve"> – platlapu koku (saīsinājumi: </w:t>
      </w:r>
      <w:proofErr w:type="spellStart"/>
      <w:r>
        <w:t>Oz</w:t>
      </w:r>
      <w:proofErr w:type="spellEnd"/>
      <w:r>
        <w:t xml:space="preserve">, </w:t>
      </w:r>
      <w:proofErr w:type="spellStart"/>
      <w:r>
        <w:t>Os</w:t>
      </w:r>
      <w:proofErr w:type="spellEnd"/>
      <w:r>
        <w:t xml:space="preserve">, L, G, </w:t>
      </w:r>
      <w:proofErr w:type="spellStart"/>
      <w:r>
        <w:t>Ds</w:t>
      </w:r>
      <w:proofErr w:type="spellEnd"/>
      <w:r>
        <w:t xml:space="preserve">, </w:t>
      </w:r>
      <w:proofErr w:type="spellStart"/>
      <w:r>
        <w:t>Sk</w:t>
      </w:r>
      <w:proofErr w:type="spellEnd"/>
      <w:r>
        <w:t xml:space="preserve">, K, </w:t>
      </w:r>
      <w:proofErr w:type="spellStart"/>
      <w:r>
        <w:t>Ozc</w:t>
      </w:r>
      <w:proofErr w:type="spellEnd"/>
      <w:r>
        <w:t xml:space="preserve">, </w:t>
      </w:r>
      <w:proofErr w:type="spellStart"/>
      <w:r>
        <w:t>Lc</w:t>
      </w:r>
      <w:proofErr w:type="spellEnd"/>
      <w:r>
        <w:t xml:space="preserve">, </w:t>
      </w:r>
      <w:proofErr w:type="spellStart"/>
      <w:r>
        <w:t>Kc</w:t>
      </w:r>
      <w:proofErr w:type="spellEnd"/>
      <w:r>
        <w:t xml:space="preserve">, </w:t>
      </w:r>
      <w:proofErr w:type="spellStart"/>
      <w:r>
        <w:t>Osc</w:t>
      </w:r>
      <w:proofErr w:type="spellEnd"/>
      <w:r>
        <w:t xml:space="preserve">, </w:t>
      </w:r>
      <w:proofErr w:type="spellStart"/>
      <w:r>
        <w:t>Gc</w:t>
      </w:r>
      <w:proofErr w:type="spellEnd"/>
      <w:r>
        <w:t xml:space="preserve">, krājas koeficientu summa &gt;=5) mežu, kas reģistrēti kā pieaugušas un pāraugušas mežaudzes,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285CB408" w14:textId="274AA716" w:rsidR="006D793C" w:rsidRDefault="006D793C" w:rsidP="00435F25">
      <w:pPr>
        <w:pStyle w:val="Teksts"/>
        <w:spacing w:after="120" w:line="240" w:lineRule="auto"/>
      </w:pPr>
      <w:r w:rsidRPr="00C977EB">
        <w:rPr>
          <w:b/>
          <w:bCs/>
        </w:rPr>
        <w:t xml:space="preserve">Platlapju vidēja vecuma un </w:t>
      </w:r>
      <w:proofErr w:type="spellStart"/>
      <w:r w:rsidRPr="00C977EB">
        <w:rPr>
          <w:b/>
          <w:bCs/>
        </w:rPr>
        <w:t>briestaudžu</w:t>
      </w:r>
      <w:proofErr w:type="spellEnd"/>
      <w:r w:rsidRPr="00C977EB">
        <w:rPr>
          <w:b/>
          <w:bCs/>
        </w:rPr>
        <w:t xml:space="preserve"> platība 490ha ainavā</w:t>
      </w:r>
      <w:r>
        <w:t xml:space="preserve"> – platlapu koku (saīsinājumi: </w:t>
      </w:r>
      <w:proofErr w:type="spellStart"/>
      <w:r>
        <w:t>Oz</w:t>
      </w:r>
      <w:proofErr w:type="spellEnd"/>
      <w:r>
        <w:t xml:space="preserve">, </w:t>
      </w:r>
      <w:proofErr w:type="spellStart"/>
      <w:r>
        <w:t>Os</w:t>
      </w:r>
      <w:proofErr w:type="spellEnd"/>
      <w:r>
        <w:t xml:space="preserve">, L, G, </w:t>
      </w:r>
      <w:proofErr w:type="spellStart"/>
      <w:r>
        <w:t>Ds</w:t>
      </w:r>
      <w:proofErr w:type="spellEnd"/>
      <w:r>
        <w:t xml:space="preserve">, </w:t>
      </w:r>
      <w:proofErr w:type="spellStart"/>
      <w:r>
        <w:t>Sk</w:t>
      </w:r>
      <w:proofErr w:type="spellEnd"/>
      <w:r>
        <w:t xml:space="preserve">, K, </w:t>
      </w:r>
      <w:proofErr w:type="spellStart"/>
      <w:r>
        <w:t>Ozc</w:t>
      </w:r>
      <w:proofErr w:type="spellEnd"/>
      <w:r>
        <w:t xml:space="preserve">, </w:t>
      </w:r>
      <w:proofErr w:type="spellStart"/>
      <w:r>
        <w:t>Lc</w:t>
      </w:r>
      <w:proofErr w:type="spellEnd"/>
      <w:r>
        <w:t xml:space="preserve">, </w:t>
      </w:r>
      <w:proofErr w:type="spellStart"/>
      <w:r>
        <w:t>Kc</w:t>
      </w:r>
      <w:proofErr w:type="spellEnd"/>
      <w:r>
        <w:t xml:space="preserve">, </w:t>
      </w:r>
      <w:proofErr w:type="spellStart"/>
      <w:r>
        <w:t>Osc</w:t>
      </w:r>
      <w:proofErr w:type="spellEnd"/>
      <w:r>
        <w:t xml:space="preserve">, </w:t>
      </w:r>
      <w:proofErr w:type="spellStart"/>
      <w:r>
        <w:t>Gc</w:t>
      </w:r>
      <w:proofErr w:type="spellEnd"/>
      <w:r>
        <w:t xml:space="preserve">, krājas koeficientu summa &gt;=5) mežu, kas reģistrēti kā vidēja vecuma un </w:t>
      </w:r>
      <w:proofErr w:type="spellStart"/>
      <w:r>
        <w:t>briestaudzes</w:t>
      </w:r>
      <w:proofErr w:type="spellEnd"/>
      <w:r>
        <w:t xml:space="preserve">,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0773510E" w14:textId="75F8C703" w:rsidR="006D793C" w:rsidRDefault="006D793C" w:rsidP="00435F25">
      <w:pPr>
        <w:pStyle w:val="Teksts"/>
        <w:spacing w:after="120" w:line="240" w:lineRule="auto"/>
      </w:pPr>
      <w:r w:rsidRPr="00D9212F">
        <w:rPr>
          <w:b/>
          <w:bCs/>
        </w:rPr>
        <w:t xml:space="preserve">Priedes īpatsvars mežaudžu </w:t>
      </w:r>
      <w:proofErr w:type="spellStart"/>
      <w:r w:rsidRPr="00D9212F">
        <w:rPr>
          <w:b/>
          <w:bCs/>
        </w:rPr>
        <w:t>krājā</w:t>
      </w:r>
      <w:proofErr w:type="spellEnd"/>
      <w:r w:rsidRPr="00D9212F">
        <w:rPr>
          <w:b/>
          <w:bCs/>
        </w:rPr>
        <w:t xml:space="preserve"> 25ha ainavā</w:t>
      </w:r>
      <w:r>
        <w:t xml:space="preserve"> – vidējais (analīzes šūnā) priedes (visu veidu) krājas īpatsvars no kopējās krājas izejas rastra 25m šūnās. </w:t>
      </w:r>
      <w:proofErr w:type="spellStart"/>
      <w:r>
        <w:t>ArcGIS</w:t>
      </w:r>
      <w:proofErr w:type="spellEnd"/>
      <w:r>
        <w:t xml:space="preserve"> funkcija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1392164A" w14:textId="63F7BDFE" w:rsidR="006D793C" w:rsidRDefault="006D793C" w:rsidP="00435F25">
      <w:pPr>
        <w:pStyle w:val="Teksts"/>
        <w:spacing w:after="120" w:line="240" w:lineRule="auto"/>
      </w:pPr>
      <w:r w:rsidRPr="00F61687">
        <w:rPr>
          <w:b/>
          <w:bCs/>
        </w:rPr>
        <w:t>Skujkoku pieaugušu un pāraugušu mežaudžu platība 490ha ainavā</w:t>
      </w:r>
      <w:r>
        <w:t xml:space="preserve"> – skujkoku (saīsinājumi: P, E, </w:t>
      </w:r>
      <w:proofErr w:type="spellStart"/>
      <w:r>
        <w:t>Le</w:t>
      </w:r>
      <w:proofErr w:type="spellEnd"/>
      <w:r>
        <w:t xml:space="preserve">, Pc, </w:t>
      </w:r>
      <w:proofErr w:type="spellStart"/>
      <w:r>
        <w:t>Ec</w:t>
      </w:r>
      <w:proofErr w:type="spellEnd"/>
      <w:r>
        <w:t xml:space="preserve">, </w:t>
      </w:r>
      <w:proofErr w:type="spellStart"/>
      <w:r>
        <w:t>Cp</w:t>
      </w:r>
      <w:proofErr w:type="spellEnd"/>
      <w:r>
        <w:t xml:space="preserve">, krājas koeficientu summa &gt;=8) mežu, kas reģistrēti kā pieaugušas un pāraugušas mežaudzes,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666DE02F" w14:textId="32409583" w:rsidR="006D793C" w:rsidRDefault="006D793C" w:rsidP="00435F25">
      <w:pPr>
        <w:pStyle w:val="Teksts"/>
        <w:spacing w:after="120" w:line="240" w:lineRule="auto"/>
      </w:pPr>
      <w:r w:rsidRPr="00F61687">
        <w:rPr>
          <w:b/>
          <w:bCs/>
        </w:rPr>
        <w:t xml:space="preserve">Skujkoku vidēja vecuma un </w:t>
      </w:r>
      <w:proofErr w:type="spellStart"/>
      <w:r w:rsidRPr="00F61687">
        <w:rPr>
          <w:b/>
          <w:bCs/>
        </w:rPr>
        <w:t>briestaudžu</w:t>
      </w:r>
      <w:proofErr w:type="spellEnd"/>
      <w:r w:rsidRPr="00F61687">
        <w:rPr>
          <w:b/>
          <w:bCs/>
        </w:rPr>
        <w:t xml:space="preserve"> platība 490ha ainavā</w:t>
      </w:r>
      <w:r>
        <w:t xml:space="preserve"> – skujkoku (saīsinājumi: P, E, </w:t>
      </w:r>
      <w:proofErr w:type="spellStart"/>
      <w:r>
        <w:t>Le</w:t>
      </w:r>
      <w:proofErr w:type="spellEnd"/>
      <w:r>
        <w:t xml:space="preserve">, Pc, </w:t>
      </w:r>
      <w:proofErr w:type="spellStart"/>
      <w:r>
        <w:t>Ec</w:t>
      </w:r>
      <w:proofErr w:type="spellEnd"/>
      <w:r>
        <w:t xml:space="preserve">, </w:t>
      </w:r>
      <w:proofErr w:type="spellStart"/>
      <w:r>
        <w:t>Cp</w:t>
      </w:r>
      <w:proofErr w:type="spellEnd"/>
      <w:r>
        <w:t xml:space="preserve">, krājas koeficientu summa &gt;=8) mežu, kas reģistrēti kā vidēja vecuma un </w:t>
      </w:r>
      <w:proofErr w:type="spellStart"/>
      <w:r>
        <w:t>briestaudzes</w:t>
      </w:r>
      <w:proofErr w:type="spellEnd"/>
      <w:r>
        <w:t xml:space="preserve">,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203E59F8" w14:textId="72B48D11" w:rsidR="006D793C" w:rsidRDefault="006D793C" w:rsidP="00435F25">
      <w:pPr>
        <w:pStyle w:val="Teksts"/>
        <w:spacing w:after="120" w:line="240" w:lineRule="auto"/>
      </w:pPr>
      <w:proofErr w:type="spellStart"/>
      <w:r w:rsidRPr="00E069D3">
        <w:rPr>
          <w:b/>
          <w:bCs/>
        </w:rPr>
        <w:t>Šaurlapju</w:t>
      </w:r>
      <w:proofErr w:type="spellEnd"/>
      <w:r w:rsidRPr="00E069D3">
        <w:rPr>
          <w:b/>
          <w:bCs/>
        </w:rPr>
        <w:t xml:space="preserve"> īpatsvars mežaudžu </w:t>
      </w:r>
      <w:proofErr w:type="spellStart"/>
      <w:r w:rsidRPr="00E069D3">
        <w:rPr>
          <w:b/>
          <w:bCs/>
        </w:rPr>
        <w:t>krājā</w:t>
      </w:r>
      <w:proofErr w:type="spellEnd"/>
      <w:r w:rsidRPr="00E069D3">
        <w:rPr>
          <w:b/>
          <w:bCs/>
        </w:rPr>
        <w:t xml:space="preserve"> 25ha ainavā</w:t>
      </w:r>
      <w:r>
        <w:t xml:space="preserve"> – šaurlapu koku (saīsinājumi: B, M, A, </w:t>
      </w:r>
      <w:proofErr w:type="spellStart"/>
      <w:r>
        <w:t>Ba</w:t>
      </w:r>
      <w:proofErr w:type="spellEnd"/>
      <w:r>
        <w:t xml:space="preserve">, Pa, </w:t>
      </w:r>
      <w:proofErr w:type="spellStart"/>
      <w:r>
        <w:t>Vi</w:t>
      </w:r>
      <w:proofErr w:type="spellEnd"/>
      <w:r>
        <w:t xml:space="preserve">, </w:t>
      </w:r>
      <w:proofErr w:type="spellStart"/>
      <w:r>
        <w:t>Bl</w:t>
      </w:r>
      <w:proofErr w:type="spellEnd"/>
      <w:r>
        <w:t xml:space="preserve">) krājas īpatsvars no kopējās krājas izejas rastra 25m šūnās. </w:t>
      </w:r>
      <w:proofErr w:type="spellStart"/>
      <w:r>
        <w:t>ArcGIS</w:t>
      </w:r>
      <w:proofErr w:type="spellEnd"/>
      <w:r>
        <w:t xml:space="preserve"> funkcija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2779A5E1" w14:textId="1394B426" w:rsidR="006D793C" w:rsidRDefault="006D793C" w:rsidP="00435F25">
      <w:pPr>
        <w:pStyle w:val="Teksts"/>
        <w:spacing w:after="120" w:line="240" w:lineRule="auto"/>
      </w:pPr>
      <w:proofErr w:type="spellStart"/>
      <w:r w:rsidRPr="00E069D3">
        <w:rPr>
          <w:b/>
          <w:bCs/>
        </w:rPr>
        <w:t>Šaurlapju</w:t>
      </w:r>
      <w:proofErr w:type="spellEnd"/>
      <w:r w:rsidRPr="00E069D3">
        <w:rPr>
          <w:b/>
          <w:bCs/>
        </w:rPr>
        <w:t xml:space="preserve"> pieaugušu un pāraugušu mežaudžu platība 490ha ainavā</w:t>
      </w:r>
      <w:r>
        <w:t xml:space="preserve"> – šaurlapu koku (saīsinājumi: B, M, A, </w:t>
      </w:r>
      <w:proofErr w:type="spellStart"/>
      <w:r>
        <w:t>Ba</w:t>
      </w:r>
      <w:proofErr w:type="spellEnd"/>
      <w:r>
        <w:t xml:space="preserve">, Pa, </w:t>
      </w:r>
      <w:proofErr w:type="spellStart"/>
      <w:r>
        <w:t>Vi</w:t>
      </w:r>
      <w:proofErr w:type="spellEnd"/>
      <w:r>
        <w:t xml:space="preserve">, </w:t>
      </w:r>
      <w:proofErr w:type="spellStart"/>
      <w:r>
        <w:t>Bl</w:t>
      </w:r>
      <w:proofErr w:type="spellEnd"/>
      <w:r>
        <w:t xml:space="preserve">, krājas koeficientu summa &gt;=7) mežu, kas reģistrēti kā pieaugušas un pāraugušas mežaudzes,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00DD6D27" w14:textId="207AE00E" w:rsidR="006D793C" w:rsidRDefault="006D793C" w:rsidP="00435F25">
      <w:pPr>
        <w:pStyle w:val="Teksts"/>
        <w:spacing w:after="120" w:line="240" w:lineRule="auto"/>
      </w:pPr>
      <w:proofErr w:type="spellStart"/>
      <w:r w:rsidRPr="00E069D3">
        <w:rPr>
          <w:b/>
          <w:bCs/>
        </w:rPr>
        <w:t>Šaurlapju</w:t>
      </w:r>
      <w:proofErr w:type="spellEnd"/>
      <w:r w:rsidRPr="00E069D3">
        <w:rPr>
          <w:b/>
          <w:bCs/>
        </w:rPr>
        <w:t xml:space="preserve"> vidēja vecuma un </w:t>
      </w:r>
      <w:proofErr w:type="spellStart"/>
      <w:r w:rsidRPr="00E069D3">
        <w:rPr>
          <w:b/>
          <w:bCs/>
        </w:rPr>
        <w:t>briestaudžu</w:t>
      </w:r>
      <w:proofErr w:type="spellEnd"/>
      <w:r w:rsidRPr="00E069D3">
        <w:rPr>
          <w:b/>
          <w:bCs/>
        </w:rPr>
        <w:t xml:space="preserve"> platība 490ha ainavā</w:t>
      </w:r>
      <w:r>
        <w:t xml:space="preserve"> – šaurlapu koku (saīsinājumi: B, M, A, </w:t>
      </w:r>
      <w:proofErr w:type="spellStart"/>
      <w:r>
        <w:t>Ba</w:t>
      </w:r>
      <w:proofErr w:type="spellEnd"/>
      <w:r>
        <w:t xml:space="preserve">, Pa, </w:t>
      </w:r>
      <w:proofErr w:type="spellStart"/>
      <w:r>
        <w:t>Vi</w:t>
      </w:r>
      <w:proofErr w:type="spellEnd"/>
      <w:r>
        <w:t xml:space="preserve">, </w:t>
      </w:r>
      <w:proofErr w:type="spellStart"/>
      <w:r>
        <w:t>Bl</w:t>
      </w:r>
      <w:proofErr w:type="spellEnd"/>
      <w:r>
        <w:t xml:space="preserve">, krājas koeficientu summa &gt;=7) mežu, kas reģistrēti kā </w:t>
      </w:r>
      <w:r>
        <w:lastRenderedPageBreak/>
        <w:t xml:space="preserve">vidēja vecuma un </w:t>
      </w:r>
      <w:proofErr w:type="spellStart"/>
      <w:r>
        <w:t>briestaudzes</w:t>
      </w:r>
      <w:proofErr w:type="spellEnd"/>
      <w:r>
        <w:t xml:space="preserve">, platība 1250m rādiusā ap analīzes šūnas centrālo 25m pikseli. </w:t>
      </w:r>
      <w:proofErr w:type="spellStart"/>
      <w:r>
        <w:t>Fragstats</w:t>
      </w:r>
      <w:proofErr w:type="spellEnd"/>
      <w:r>
        <w:t xml:space="preserve"> funkcija </w:t>
      </w:r>
      <w:proofErr w:type="spellStart"/>
      <w:r>
        <w:t>Class</w:t>
      </w:r>
      <w:proofErr w:type="spellEnd"/>
      <w:r>
        <w:t xml:space="preserve"> </w:t>
      </w:r>
      <w:proofErr w:type="spellStart"/>
      <w:r>
        <w:t>Area</w:t>
      </w:r>
      <w:proofErr w:type="spellEnd"/>
      <w:r>
        <w:t>.</w:t>
      </w:r>
    </w:p>
    <w:p w14:paraId="49B11E6D" w14:textId="24F239C0" w:rsidR="006D793C" w:rsidRDefault="006D793C" w:rsidP="00435F25">
      <w:pPr>
        <w:pStyle w:val="Teksts"/>
        <w:spacing w:after="120" w:line="240" w:lineRule="auto"/>
      </w:pPr>
      <w:r w:rsidRPr="0074698C">
        <w:rPr>
          <w:b/>
          <w:bCs/>
        </w:rPr>
        <w:t>Ūdensobjektu platība 25ha ainavā</w:t>
      </w:r>
      <w:r>
        <w:t xml:space="preserve"> – LĢIA topogrāfiskajā kartē reģistrēto ūdeņu (ar laukumu) saturošo pikseļu summa, izmantojot </w:t>
      </w:r>
      <w:proofErr w:type="spellStart"/>
      <w:r>
        <w:t>ArcGIS</w:t>
      </w:r>
      <w:proofErr w:type="spellEnd"/>
      <w:r>
        <w:t xml:space="preserve"> funkciju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2AE90A5A" w14:textId="7B9E4B38" w:rsidR="006D793C" w:rsidRDefault="006D793C" w:rsidP="00435F25">
      <w:pPr>
        <w:pStyle w:val="Teksts"/>
        <w:spacing w:after="120" w:line="240" w:lineRule="auto"/>
      </w:pPr>
      <w:r w:rsidRPr="0074698C">
        <w:rPr>
          <w:b/>
          <w:bCs/>
        </w:rPr>
        <w:t>Vecākās mežaudzes vecuma novirzes no cirtmeta īpatsvars no cirtmeta 25ha ainavā</w:t>
      </w:r>
      <w:r>
        <w:t xml:space="preserve"> – katrai mežaudzei aprēķināts cirtmets pēc tajā valdošās koku sugas (krājas koeficienta), bonitātes un aizsardzības pazīmes (baltalksnim par cirtmetu noteikti 35 gadi), pēc tam, aprēķināta MVR reģistrētā mežaudzes vecuma novirze no aprēķinātā cirtmeta </w:t>
      </w:r>
      <w:proofErr w:type="gramStart"/>
      <w:r>
        <w:t>(</w:t>
      </w:r>
      <w:proofErr w:type="gramEnd"/>
      <w:r>
        <w:t xml:space="preserve">jaunākas par cirtmetu veido negatīvas vērtības), kas svērta ar cirtmetu (visu audžu standartizācijai). Lielākā pozitīvā vērtība analīzes šūnā noteikta, izmantojot </w:t>
      </w:r>
      <w:proofErr w:type="spellStart"/>
      <w:r>
        <w:t>ArcGIS</w:t>
      </w:r>
      <w:proofErr w:type="spellEnd"/>
      <w:r>
        <w:t xml:space="preserve"> funkciju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1B1D5C1B" w14:textId="02B8A6B2" w:rsidR="006D793C" w:rsidRDefault="006D793C" w:rsidP="00435F25">
      <w:pPr>
        <w:pStyle w:val="Teksts"/>
        <w:spacing w:after="120" w:line="240" w:lineRule="auto"/>
      </w:pPr>
      <w:r w:rsidRPr="0074698C">
        <w:rPr>
          <w:b/>
          <w:bCs/>
        </w:rPr>
        <w:t>Vidējais mežaudzes vecuma novirzes no cirtmeta īpatsvars no cirtmeta 25ha ainavā</w:t>
      </w:r>
      <w:r>
        <w:t xml:space="preserve"> – katrai mežaudzei aprēķināts cirtmets pēc tajā valdošās koku sugas (krājas koeficienta), bonitātes un aizsardzības pazīmes (baltalksnim par cirtmetu noteikti 35 gadi), pēc tam, aprēķināta MVR reģistrētā mežaudzes vecuma novirze no aprēķinātā cirtmeta </w:t>
      </w:r>
      <w:proofErr w:type="gramStart"/>
      <w:r>
        <w:t>(</w:t>
      </w:r>
      <w:proofErr w:type="gramEnd"/>
      <w:r>
        <w:t xml:space="preserve">jaunākas par cirtmetu veido negatīvas vērtības), kas svērta ar cirtmetu (visu audžu standartizācijai). Vidējā vērtība analīzes šūnā noteikta, izmantojot </w:t>
      </w:r>
      <w:proofErr w:type="spellStart"/>
      <w:r>
        <w:t>ArcGIS</w:t>
      </w:r>
      <w:proofErr w:type="spellEnd"/>
      <w:r>
        <w:t xml:space="preserve"> funkciju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06A8CAE5" w14:textId="00DFBE2E" w:rsidR="006D793C" w:rsidRDefault="006D793C" w:rsidP="00435F25">
      <w:pPr>
        <w:pStyle w:val="Teksts"/>
        <w:spacing w:after="120" w:line="240" w:lineRule="auto"/>
      </w:pPr>
      <w:r w:rsidRPr="0074698C">
        <w:rPr>
          <w:b/>
          <w:bCs/>
        </w:rPr>
        <w:t>Zālāji, lauksaimniecībā izmantojamās zemes un meža lauces 25ha ainavā</w:t>
      </w:r>
      <w:r>
        <w:t xml:space="preserve"> – LAD reģistrētās platības, kurās nav ogulāji, augļukoki, vai krūmāji, </w:t>
      </w:r>
      <w:proofErr w:type="spellStart"/>
      <w:r>
        <w:t>palpildinātas</w:t>
      </w:r>
      <w:proofErr w:type="spellEnd"/>
      <w:r>
        <w:t xml:space="preserve"> ar laucēm no MVR un LĢIA topogrāfiskajā kartē iekļautajām “pārējām zemēm”, uz kurām neatrodas citu veidu ģeometrijas</w:t>
      </w:r>
      <w:r w:rsidRPr="00E07030">
        <w:t xml:space="preserve"> </w:t>
      </w:r>
      <w:r>
        <w:t xml:space="preserve">izejas rastra 25m šūnās. </w:t>
      </w:r>
      <w:proofErr w:type="spellStart"/>
      <w:r>
        <w:t>ArcGIS</w:t>
      </w:r>
      <w:proofErr w:type="spellEnd"/>
      <w:r>
        <w:t xml:space="preserve"> funkcija “</w:t>
      </w:r>
      <w:proofErr w:type="spellStart"/>
      <w:r>
        <w:t>Zonal</w:t>
      </w:r>
      <w:proofErr w:type="spellEnd"/>
      <w:r>
        <w:t xml:space="preserve"> </w:t>
      </w:r>
      <w:proofErr w:type="spellStart"/>
      <w:r>
        <w:t>Statistics</w:t>
      </w:r>
      <w:proofErr w:type="spellEnd"/>
      <w:r>
        <w:t xml:space="preserve"> as </w:t>
      </w:r>
      <w:proofErr w:type="spellStart"/>
      <w:r>
        <w:t>Table</w:t>
      </w:r>
      <w:proofErr w:type="spellEnd"/>
      <w:r>
        <w:t>”.</w:t>
      </w:r>
    </w:p>
    <w:p w14:paraId="03BD9CD3" w14:textId="2ED3A94A" w:rsidR="006D793C" w:rsidRDefault="006D793C" w:rsidP="00435F25">
      <w:pPr>
        <w:pStyle w:val="Teksts"/>
        <w:spacing w:after="120" w:line="240" w:lineRule="auto"/>
      </w:pPr>
      <w:r>
        <w:t xml:space="preserve">Visos gadījumos, kad vienas </w:t>
      </w:r>
      <w:proofErr w:type="spellStart"/>
      <w:r>
        <w:t>ģeodatubāzes</w:t>
      </w:r>
      <w:proofErr w:type="spellEnd"/>
      <w:r>
        <w:t xml:space="preserve"> ietvaros izejas datu pikseļos atrodas vairāki poligoni, pikseļa vērtība noteikta pēc piederības poligonam ar lielāko platību. Visos gadījumos, kad pikseļos atrodas dažādi izejas dati, par pikseļa vērtību noteikta konkrētā veidojamā parametra nozīmīgākā vērtība. Piemēram, pieaugušo un pāraugušo mežaudžu platībai ainavā, dominance piešķirta šim parametram, pat, ja tas pārklājas ar, piemēram, lauksaimniecības zemēm, bet vecuma kategorija starp mežaudzēm noteikta pēc laukuma lieluma pikseļa iekšienē. Tas nozīmē, ka, summējot dažādus parametrus, analīzes šūnas platība var pārsniegt 25ha, tomēr šāda pieeja nodrošina katra parametra pārstāvniecību, to nesamazinot par labu pētnieka iedomātam analīzes rezultātam </w:t>
      </w:r>
      <w:r>
        <w:fldChar w:fldCharType="begin" w:fldLock="1"/>
      </w:r>
      <w:r>
        <w:instrText>ADDIN CSL_CITATION {"citationItems":[{"id":"ITEM-1","itemData":{"ISBN":"9781138711136","author":[{"dropping-particle":"","family":"Wikle","given":"C. K.","non-dropping-particle":"","parse-names":false,"suffix":""},{"dropping-particle":"","family":"Zammit-Mangion","given":"A.","non-dropping-particle":"","parse-names":false,"suffix":""},{"dropping-particle":"","family":"Cressie","given":"N.","non-dropping-particle":"","parse-names":false,"suffix":""}],"id":"ITEM-1","issued":{"date-parts":[["2019"]]},"number-of-pages":"396","publisher":"Taylor &amp; Francis","publisher-place":"Florida","title":"Spatio-Temporal Statistics with R","type":"book"},"uris":["http://www.mendeley.com/documents/?uuid=d547796c-fd49-4956-9abd-02a0262fb4a0"]}],"mendeley":{"formattedCitation":"(Wikle et al., 2019)","plainTextFormattedCitation":"(Wikle et al., 2019)"},"properties":{"noteIndex":0},"schema":"https://github.com/citation-style-language/schema/raw/master/csl-citation.json"}</w:instrText>
      </w:r>
      <w:r>
        <w:fldChar w:fldCharType="separate"/>
      </w:r>
      <w:r w:rsidR="001F54FB">
        <w:rPr>
          <w:noProof/>
        </w:rPr>
        <w:t>(Wikle et al.</w:t>
      </w:r>
      <w:r w:rsidRPr="0004181C">
        <w:rPr>
          <w:noProof/>
        </w:rPr>
        <w:t xml:space="preserve"> 2019)</w:t>
      </w:r>
      <w:r>
        <w:fldChar w:fldCharType="end"/>
      </w:r>
      <w:r>
        <w:t>.</w:t>
      </w:r>
    </w:p>
    <w:p w14:paraId="5B9D099A" w14:textId="293F1253" w:rsidR="006D793C" w:rsidRDefault="006D793C" w:rsidP="00435F25">
      <w:pPr>
        <w:pStyle w:val="Teksts"/>
        <w:spacing w:after="120" w:line="240" w:lineRule="auto"/>
      </w:pPr>
      <w:r>
        <w:t>Lai uzlabotu modeļu konverģenci, visi mainīgie</w:t>
      </w:r>
      <w:r w:rsidR="00AA735E">
        <w:t xml:space="preserve"> </w:t>
      </w:r>
      <w:r>
        <w:t xml:space="preserve">transformēti, izmantojot </w:t>
      </w:r>
      <w:proofErr w:type="spellStart"/>
      <w:r>
        <w:t>Box-Cox</w:t>
      </w:r>
      <w:proofErr w:type="spellEnd"/>
      <w:r>
        <w:t xml:space="preserve"> pieeju </w:t>
      </w:r>
      <w:r>
        <w:fldChar w:fldCharType="begin" w:fldLock="1"/>
      </w:r>
      <w:r>
        <w:instrText>ADDIN CSL_CITATION {"citationItems":[{"id":"ITEM-1","itemData":{"ISBN":"9780716724117","author":[{"dropping-particle":"","family":"Sokal","given":"Robert R","non-dropping-particle":"","parse-names":false,"suffix":""},{"dropping-particle":"","family":"Rohlf","given":"F.J. J","non-dropping-particle":"","parse-names":false,"suffix":""}],"edition":"3rd editio","id":"ITEM-1","issued":{"date-parts":[["1995"]]},"number-of-pages":"850","publisher":"W.H. Freeman and Company","title":"Biometry: the principles and practice of statistics in biological research","type":"book"},"uris":["http://www.mendeley.com/documents/?uuid=4ecdd605-b202-45fa-86f9-770fcba4e9af"]}],"mendeley":{"formattedCitation":"(Sokal and Rohlf, 1995)","plainTextFormattedCitation":"(Sokal and Rohlf, 1995)","previouslyFormattedCitation":"(Sokal and Rohlf, 1995)"},"properties":{"noteIndex":0},"schema":"https://github.com/citation-style-language/schema/raw/master/csl-citation.json"}</w:instrText>
      </w:r>
      <w:r>
        <w:fldChar w:fldCharType="separate"/>
      </w:r>
      <w:r w:rsidR="00C6291F">
        <w:rPr>
          <w:noProof/>
        </w:rPr>
        <w:t>(Sokal, Rohlf</w:t>
      </w:r>
      <w:r w:rsidRPr="00D666AD">
        <w:rPr>
          <w:noProof/>
        </w:rPr>
        <w:t xml:space="preserve"> 1995)</w:t>
      </w:r>
      <w:r>
        <w:fldChar w:fldCharType="end"/>
      </w:r>
      <w:r>
        <w:t>. Tā kā šī transformācija krasi maina vērtības, saglabājot mazāko un lielāko vērtību kā mazāko un lielāko, un</w:t>
      </w:r>
      <w:proofErr w:type="gramStart"/>
      <w:r>
        <w:t xml:space="preserve"> pielīdzinot vidējo un mediānu, sugu ekoloģiskās nišas aprakstu nodaļu attēlos</w:t>
      </w:r>
      <w:proofErr w:type="gramEnd"/>
      <w:r>
        <w:t xml:space="preserve"> nav sniegtas parametru vērtības. Interesējošās vērtības ir pielīdzināmas no parametru aprakstu tabulas</w:t>
      </w:r>
      <w:r w:rsidR="003341D3">
        <w:t xml:space="preserve"> (pievienotais fails “</w:t>
      </w:r>
      <w:proofErr w:type="spellStart"/>
      <w:r w:rsidR="003341D3">
        <w:t>Dzenu_EGV.xlsx</w:t>
      </w:r>
      <w:proofErr w:type="spellEnd"/>
      <w:r w:rsidR="003341D3">
        <w:t>”)</w:t>
      </w:r>
      <w:r>
        <w:t xml:space="preserve"> pēc novietojuma attiecībā pret mazāko,</w:t>
      </w:r>
      <w:r w:rsidR="003341D3">
        <w:t xml:space="preserve"> </w:t>
      </w:r>
      <w:proofErr w:type="spellStart"/>
      <w:r w:rsidR="003341D3">
        <w:t>mediāno</w:t>
      </w:r>
      <w:proofErr w:type="spellEnd"/>
      <w:r w:rsidR="003341D3">
        <w:t>,</w:t>
      </w:r>
      <w:r>
        <w:t xml:space="preserve"> vidējo un lielāko vērtību grafikos. Atpakaļ transformēšana šai metodei netiek ierosināta </w:t>
      </w:r>
      <w:r>
        <w:fldChar w:fldCharType="begin" w:fldLock="1"/>
      </w:r>
      <w:r>
        <w:instrText>ADDIN CSL_CITATION {"citationItems":[{"id":"ITEM-1","itemData":{"ISBN":"9780716724117","author":[{"dropping-particle":"","family":"Sokal","given":"Robert R","non-dropping-particle":"","parse-names":false,"suffix":""},{"dropping-particle":"","family":"Rohlf","given":"F.J. J","non-dropping-particle":"","parse-names":false,"suffix":""}],"edition":"3rd editio","id":"ITEM-1","issued":{"date-parts":[["1995"]]},"number-of-pages":"850","publisher":"W.H. Freeman and Company","title":"Biometry: the principles and practice of statistics in biological research","type":"book"},"uris":["http://www.mendeley.com/documents/?uuid=4ecdd605-b202-45fa-86f9-770fcba4e9af"]},{"id":"ITEM-2","itemData":{"ISBN":"9780387459677","author":[{"dropping-particle":"","family":"Zuur","given":"Alain F.","non-dropping-particle":"","parse-names":false,"suffix":""},{"dropping-particle":"","family":"Ieno","given":"Elena N.","non-dropping-particle":"","parse-names":false,"suffix":""},{"dropping-particle":"","family":"Smith","given":"Graham M.","non-dropping-particle":"","parse-names":false,"suffix":""}],"id":"ITEM-2","issued":{"date-parts":[["2007"]]},"number-of-pages":"686","publisher":"Springer","title":"Analysing Ecological Data","type":"book"},"uris":["http://www.mendeley.com/documents/?uuid=291f2df4-088e-4def-ae32-ae4343594b43"]}],"mendeley":{"formattedCitation":"(Sokal and Rohlf, 1995; Zuur et al., 2007)","plainTextFormattedCitation":"(Sokal and Rohlf, 1995; Zuur et al., 2007)","previouslyFormattedCitation":"(Sokal and Rohlf, 1995; Zuur et al., 2007)"},"properties":{"noteIndex":0},"schema":"https://github.com/citation-style-language/schema/raw/master/csl-citation.json"}</w:instrText>
      </w:r>
      <w:r>
        <w:fldChar w:fldCharType="separate"/>
      </w:r>
      <w:r w:rsidRPr="00D666AD">
        <w:rPr>
          <w:noProof/>
        </w:rPr>
        <w:t>(Sokal and Rohlf, 1995; Zuur et al., 2007)</w:t>
      </w:r>
      <w:r>
        <w:fldChar w:fldCharType="end"/>
      </w:r>
      <w:r>
        <w:t xml:space="preserve">. </w:t>
      </w:r>
      <w:r w:rsidR="00AA735E">
        <w:t>B</w:t>
      </w:r>
      <w:r>
        <w:t>iotopu piemērotību skaidrojoš</w:t>
      </w:r>
      <w:r w:rsidR="00AA735E">
        <w:t>ie modeļi izstrādāti</w:t>
      </w:r>
      <w:r>
        <w:t xml:space="preserve"> programmā </w:t>
      </w:r>
      <w:proofErr w:type="spellStart"/>
      <w:r>
        <w:t>Maxent</w:t>
      </w:r>
      <w:proofErr w:type="spellEnd"/>
      <w:r w:rsidR="00AA735E">
        <w:t xml:space="preserve"> 3.4.1.</w:t>
      </w:r>
      <w:r>
        <w:t xml:space="preserve"> </w:t>
      </w:r>
      <w:r>
        <w:fldChar w:fldCharType="begin" w:fldLock="1"/>
      </w:r>
      <w:r>
        <w:instrText>ADDIN CSL_CITATION {"citationItems":[{"id":"ITEM-1","itemData":{"author":[{"dropping-particle":"","family":"Phillips","given":"Steven J","non-dropping-particle":"","parse-names":false,"suffix":""},{"dropping-particle":"","family":"Dudik","given":"M","non-dropping-particle":"","parse-names":false,"suffix":""},{"dropping-particle":"","family":"Schapire","given":"R","non-dropping-particle":"","parse-names":false,"suffix":""}],"container-title":"Proceedings of the 21st International Conference on Machine Learning","id":"ITEM-1","issued":{"date-parts":[["2004"]]},"page":"655-662","title":"A Maximum Entropy Approach to Species Distribution Modeling","type":"article-journal"},"uris":["http://www.mendeley.com/documents/?uuid=81b06ad7-1299-4d97-8ab0-0c1c862eeb02"]}],"mendeley":{"formattedCitation":"(Phillips et al., 2004)","plainTextFormattedCitation":"(Phillips et al., 2004)","previouslyFormattedCitation":"(Phillips et al., 2004)"},"properties":{"noteIndex":0},"schema":"https://github.com/citation-style-language/schema/raw/master/csl-citation.json"}</w:instrText>
      </w:r>
      <w:r>
        <w:fldChar w:fldCharType="separate"/>
      </w:r>
      <w:r w:rsidR="00C6291F">
        <w:rPr>
          <w:noProof/>
        </w:rPr>
        <w:t>(Phillips et al.</w:t>
      </w:r>
      <w:r w:rsidRPr="0004181C">
        <w:rPr>
          <w:noProof/>
        </w:rPr>
        <w:t xml:space="preserve"> 200</w:t>
      </w:r>
      <w:r w:rsidR="001243B1">
        <w:rPr>
          <w:noProof/>
        </w:rPr>
        <w:t>6</w:t>
      </w:r>
      <w:r w:rsidRPr="0004181C">
        <w:rPr>
          <w:noProof/>
        </w:rPr>
        <w:t>)</w:t>
      </w:r>
      <w:r>
        <w:fldChar w:fldCharType="end"/>
      </w:r>
      <w:r>
        <w:t>.</w:t>
      </w:r>
    </w:p>
    <w:p w14:paraId="1AB5A87F" w14:textId="77777777" w:rsidR="00C6291F" w:rsidRDefault="00C6291F" w:rsidP="00435F25">
      <w:pPr>
        <w:pStyle w:val="Teksts"/>
        <w:spacing w:after="120" w:line="240" w:lineRule="auto"/>
      </w:pPr>
    </w:p>
    <w:p w14:paraId="328646CB" w14:textId="153FB26C" w:rsidR="006D793C" w:rsidRPr="00435F25" w:rsidRDefault="00435F25" w:rsidP="00435F25">
      <w:pPr>
        <w:pStyle w:val="Heading2"/>
        <w:spacing w:before="0" w:after="120" w:line="240" w:lineRule="auto"/>
        <w:rPr>
          <w:rFonts w:ascii="Times New Roman" w:hAnsi="Times New Roman" w:cs="Times New Roman"/>
          <w:b/>
          <w:i/>
          <w:color w:val="auto"/>
          <w:sz w:val="24"/>
          <w:szCs w:val="24"/>
        </w:rPr>
      </w:pPr>
      <w:r w:rsidRPr="00435F25">
        <w:rPr>
          <w:rFonts w:ascii="Times New Roman" w:hAnsi="Times New Roman" w:cs="Times New Roman"/>
          <w:b/>
          <w:i/>
          <w:color w:val="auto"/>
          <w:sz w:val="24"/>
          <w:szCs w:val="24"/>
        </w:rPr>
        <w:t>L</w:t>
      </w:r>
      <w:r w:rsidR="006D793C" w:rsidRPr="00435F25">
        <w:rPr>
          <w:rFonts w:ascii="Times New Roman" w:hAnsi="Times New Roman" w:cs="Times New Roman"/>
          <w:b/>
          <w:i/>
          <w:color w:val="auto"/>
          <w:sz w:val="24"/>
          <w:szCs w:val="24"/>
        </w:rPr>
        <w:t>iteratūra</w:t>
      </w:r>
    </w:p>
    <w:p w14:paraId="64569829" w14:textId="1CA68BF4" w:rsidR="006D793C" w:rsidRPr="0004181C" w:rsidRDefault="006D793C" w:rsidP="00435F25">
      <w:pPr>
        <w:widowControl w:val="0"/>
        <w:autoSpaceDE w:val="0"/>
        <w:autoSpaceDN w:val="0"/>
        <w:adjustRightInd w:val="0"/>
        <w:spacing w:after="120" w:line="240" w:lineRule="auto"/>
        <w:ind w:left="480" w:hanging="48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001F54FB">
        <w:rPr>
          <w:rFonts w:ascii="Times New Roman" w:hAnsi="Times New Roman" w:cs="Times New Roman"/>
          <w:noProof/>
          <w:sz w:val="24"/>
          <w:szCs w:val="24"/>
        </w:rPr>
        <w:t>ERDAS</w:t>
      </w:r>
      <w:r w:rsidRPr="0004181C">
        <w:rPr>
          <w:rFonts w:ascii="Times New Roman" w:hAnsi="Times New Roman" w:cs="Times New Roman"/>
          <w:noProof/>
          <w:sz w:val="24"/>
          <w:szCs w:val="24"/>
        </w:rPr>
        <w:t xml:space="preserve"> 2009. ERDAS Field Guide </w:t>
      </w:r>
      <w:r w:rsidRPr="0004181C">
        <w:rPr>
          <w:rFonts w:ascii="Times New Roman" w:hAnsi="Times New Roman" w:cs="Times New Roman"/>
          <w:noProof/>
          <w:sz w:val="24"/>
          <w:szCs w:val="24"/>
          <w:vertAlign w:val="superscript"/>
        </w:rPr>
        <w:t>TM</w:t>
      </w:r>
      <w:r w:rsidRPr="0004181C">
        <w:rPr>
          <w:rFonts w:ascii="Times New Roman" w:hAnsi="Times New Roman" w:cs="Times New Roman"/>
          <w:noProof/>
          <w:sz w:val="24"/>
          <w:szCs w:val="24"/>
        </w:rPr>
        <w:t xml:space="preserve"> - Tutorial 810.</w:t>
      </w:r>
    </w:p>
    <w:p w14:paraId="6918427F" w14:textId="780EBDED" w:rsidR="006D793C" w:rsidRPr="0004181C" w:rsidRDefault="001F54FB" w:rsidP="00435F25">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ESRI</w:t>
      </w:r>
      <w:r w:rsidR="006D793C" w:rsidRPr="0004181C">
        <w:rPr>
          <w:rFonts w:ascii="Times New Roman" w:hAnsi="Times New Roman" w:cs="Times New Roman"/>
          <w:noProof/>
          <w:sz w:val="24"/>
          <w:szCs w:val="24"/>
        </w:rPr>
        <w:t xml:space="preserve"> 2016. ArcGIS Desktop: Release 10.4.1.</w:t>
      </w:r>
    </w:p>
    <w:p w14:paraId="5DB34351" w14:textId="757C318A" w:rsidR="006D793C" w:rsidRPr="0004181C" w:rsidRDefault="001F54FB" w:rsidP="00435F25">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Mcgarigal K.</w:t>
      </w:r>
      <w:r w:rsidR="006D793C" w:rsidRPr="0004181C">
        <w:rPr>
          <w:rFonts w:ascii="Times New Roman" w:hAnsi="Times New Roman" w:cs="Times New Roman"/>
          <w:noProof/>
          <w:sz w:val="24"/>
          <w:szCs w:val="24"/>
        </w:rPr>
        <w:t xml:space="preserve"> 2015. FRAGSTATS HELP. Amherst.</w:t>
      </w:r>
    </w:p>
    <w:p w14:paraId="1142B71E" w14:textId="6F35AB49" w:rsidR="006D793C" w:rsidRPr="0004181C" w:rsidRDefault="00B520B3" w:rsidP="00435F25">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B520B3">
        <w:rPr>
          <w:rFonts w:ascii="Times New Roman" w:hAnsi="Times New Roman" w:cs="Times New Roman"/>
          <w:noProof/>
          <w:sz w:val="24"/>
          <w:szCs w:val="24"/>
        </w:rPr>
        <w:lastRenderedPageBreak/>
        <w:t>Phillips, S.J., Dudik, M., Schapire, R., 2004. A Maximum Entropy Approach to Species Distribution Modeling. Proceedings of the 21st International Conference on Machine Learning 655–662.</w:t>
      </w:r>
      <w:bookmarkStart w:id="0" w:name="_GoBack"/>
      <w:bookmarkEnd w:id="0"/>
      <w:r w:rsidR="00AE5F82" w:rsidRPr="00AE5F82">
        <w:rPr>
          <w:rFonts w:ascii="Times New Roman" w:hAnsi="Times New Roman" w:cs="Times New Roman"/>
          <w:noProof/>
          <w:sz w:val="24"/>
          <w:szCs w:val="24"/>
        </w:rPr>
        <w:t xml:space="preserve"> </w:t>
      </w:r>
    </w:p>
    <w:p w14:paraId="4777B95D" w14:textId="5B345BB6" w:rsidR="006D793C" w:rsidRPr="0004181C" w:rsidRDefault="001F54FB" w:rsidP="00435F25">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Sokal R.R., Rohlf, F.J.J.</w:t>
      </w:r>
      <w:r w:rsidR="006D793C" w:rsidRPr="0004181C">
        <w:rPr>
          <w:rFonts w:ascii="Times New Roman" w:hAnsi="Times New Roman" w:cs="Times New Roman"/>
          <w:noProof/>
          <w:sz w:val="24"/>
          <w:szCs w:val="24"/>
        </w:rPr>
        <w:t xml:space="preserve"> 1995. Biometry: the principles and practice of statistics in biological research, 3rd editio</w:t>
      </w:r>
      <w:r w:rsidR="003B79F7">
        <w:rPr>
          <w:rFonts w:ascii="Times New Roman" w:hAnsi="Times New Roman" w:cs="Times New Roman"/>
          <w:noProof/>
          <w:sz w:val="24"/>
          <w:szCs w:val="24"/>
        </w:rPr>
        <w:t>n</w:t>
      </w:r>
      <w:r w:rsidR="006D793C" w:rsidRPr="0004181C">
        <w:rPr>
          <w:rFonts w:ascii="Times New Roman" w:hAnsi="Times New Roman" w:cs="Times New Roman"/>
          <w:noProof/>
          <w:sz w:val="24"/>
          <w:szCs w:val="24"/>
        </w:rPr>
        <w:t>. ed. W.H. Freeman and Company.</w:t>
      </w:r>
    </w:p>
    <w:p w14:paraId="570EF8DB" w14:textId="13DEDFB7" w:rsidR="006D793C" w:rsidRPr="0004181C" w:rsidRDefault="001F54FB" w:rsidP="00435F25">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Wikle</w:t>
      </w:r>
      <w:r w:rsidR="006D793C" w:rsidRPr="0004181C">
        <w:rPr>
          <w:rFonts w:ascii="Times New Roman" w:hAnsi="Times New Roman" w:cs="Times New Roman"/>
          <w:noProof/>
          <w:sz w:val="24"/>
          <w:szCs w:val="24"/>
        </w:rPr>
        <w:t xml:space="preserve"> C.K., </w:t>
      </w:r>
      <w:r>
        <w:rPr>
          <w:rFonts w:ascii="Times New Roman" w:hAnsi="Times New Roman" w:cs="Times New Roman"/>
          <w:noProof/>
          <w:sz w:val="24"/>
          <w:szCs w:val="24"/>
        </w:rPr>
        <w:t>Zammit-Mangion, A., Cressie, N.</w:t>
      </w:r>
      <w:r w:rsidR="006D793C" w:rsidRPr="0004181C">
        <w:rPr>
          <w:rFonts w:ascii="Times New Roman" w:hAnsi="Times New Roman" w:cs="Times New Roman"/>
          <w:noProof/>
          <w:sz w:val="24"/>
          <w:szCs w:val="24"/>
        </w:rPr>
        <w:t xml:space="preserve"> 2019. Spatio-Temporal Statistics with R. Taylor &amp; Francis, Florida.</w:t>
      </w:r>
    </w:p>
    <w:p w14:paraId="31CD4F40" w14:textId="43DF2AD0" w:rsidR="00197CFB" w:rsidRDefault="001F54FB" w:rsidP="00435F25">
      <w:pPr>
        <w:widowControl w:val="0"/>
        <w:autoSpaceDE w:val="0"/>
        <w:autoSpaceDN w:val="0"/>
        <w:adjustRightInd w:val="0"/>
        <w:spacing w:after="120" w:line="240" w:lineRule="auto"/>
        <w:ind w:left="480" w:hanging="480"/>
      </w:pPr>
      <w:r>
        <w:rPr>
          <w:rFonts w:ascii="Times New Roman" w:hAnsi="Times New Roman" w:cs="Times New Roman"/>
          <w:noProof/>
          <w:sz w:val="24"/>
          <w:szCs w:val="24"/>
        </w:rPr>
        <w:t>Zuur A.F., Ieno E.N., Smith G.M.</w:t>
      </w:r>
      <w:r w:rsidR="006D793C" w:rsidRPr="0004181C">
        <w:rPr>
          <w:rFonts w:ascii="Times New Roman" w:hAnsi="Times New Roman" w:cs="Times New Roman"/>
          <w:noProof/>
          <w:sz w:val="24"/>
          <w:szCs w:val="24"/>
        </w:rPr>
        <w:t xml:space="preserve"> 2007. Analysing Ecological Data. Springer.</w:t>
      </w:r>
      <w:r w:rsidR="006D793C">
        <w:fldChar w:fldCharType="end"/>
      </w:r>
    </w:p>
    <w:sectPr w:rsidR="00197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573"/>
    <w:multiLevelType w:val="hybridMultilevel"/>
    <w:tmpl w:val="5AF85380"/>
    <w:lvl w:ilvl="0" w:tplc="AEBE1D32">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ED"/>
    <w:rsid w:val="001243B1"/>
    <w:rsid w:val="00197CFB"/>
    <w:rsid w:val="00197F61"/>
    <w:rsid w:val="001F54FB"/>
    <w:rsid w:val="002C0E83"/>
    <w:rsid w:val="003341D3"/>
    <w:rsid w:val="003B79F7"/>
    <w:rsid w:val="00435F25"/>
    <w:rsid w:val="00443B47"/>
    <w:rsid w:val="00594764"/>
    <w:rsid w:val="0067226D"/>
    <w:rsid w:val="006D793C"/>
    <w:rsid w:val="007B035A"/>
    <w:rsid w:val="00803F88"/>
    <w:rsid w:val="0095240E"/>
    <w:rsid w:val="00960015"/>
    <w:rsid w:val="00960A24"/>
    <w:rsid w:val="00A836E1"/>
    <w:rsid w:val="00AA735E"/>
    <w:rsid w:val="00AE5F82"/>
    <w:rsid w:val="00B20425"/>
    <w:rsid w:val="00B520B3"/>
    <w:rsid w:val="00B6547D"/>
    <w:rsid w:val="00C6291F"/>
    <w:rsid w:val="00CF451A"/>
    <w:rsid w:val="00E171C3"/>
    <w:rsid w:val="00FD1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6C1"/>
  <w15:docId w15:val="{7F88E21C-0CE6-47D3-8738-1DA43735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64"/>
    <w:rPr>
      <w:lang w:val="lv-LV"/>
    </w:rPr>
  </w:style>
  <w:style w:type="paragraph" w:styleId="Heading1">
    <w:name w:val="heading 1"/>
    <w:basedOn w:val="Normal"/>
    <w:next w:val="Normal"/>
    <w:link w:val="Heading1Char"/>
    <w:uiPriority w:val="9"/>
    <w:qFormat/>
    <w:rsid w:val="00197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79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link w:val="TekstsChar"/>
    <w:autoRedefine/>
    <w:qFormat/>
    <w:rsid w:val="00A836E1"/>
    <w:pPr>
      <w:spacing w:after="0" w:line="360" w:lineRule="auto"/>
      <w:ind w:firstLine="720"/>
      <w:jc w:val="both"/>
    </w:pPr>
    <w:rPr>
      <w:rFonts w:ascii="Times New Roman" w:hAnsi="Times New Roman"/>
      <w:sz w:val="24"/>
    </w:rPr>
  </w:style>
  <w:style w:type="character" w:customStyle="1" w:styleId="TekstsChar">
    <w:name w:val="Teksts Char"/>
    <w:basedOn w:val="DefaultParagraphFont"/>
    <w:link w:val="Teksts"/>
    <w:rsid w:val="00A836E1"/>
    <w:rPr>
      <w:rFonts w:ascii="Times New Roman" w:hAnsi="Times New Roman"/>
      <w:sz w:val="24"/>
      <w:lang w:val="lv-LV"/>
    </w:rPr>
  </w:style>
  <w:style w:type="character" w:customStyle="1" w:styleId="Heading1Char">
    <w:name w:val="Heading 1 Char"/>
    <w:basedOn w:val="DefaultParagraphFont"/>
    <w:link w:val="Heading1"/>
    <w:uiPriority w:val="9"/>
    <w:rsid w:val="00197CFB"/>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6D793C"/>
    <w:rPr>
      <w:rFonts w:asciiTheme="majorHAnsi" w:eastAsiaTheme="majorEastAsia" w:hAnsiTheme="majorHAnsi" w:cstheme="majorBidi"/>
      <w:color w:val="2F5496" w:themeColor="accent1" w:themeShade="BF"/>
      <w:sz w:val="26"/>
      <w:szCs w:val="26"/>
      <w:lang w:val="lv-LV"/>
    </w:rPr>
  </w:style>
  <w:style w:type="character" w:styleId="Hyperlink">
    <w:name w:val="Hyperlink"/>
    <w:basedOn w:val="DefaultParagraphFont"/>
    <w:uiPriority w:val="99"/>
    <w:unhideWhenUsed/>
    <w:rsid w:val="006D793C"/>
    <w:rPr>
      <w:color w:val="0563C1" w:themeColor="hyperlink"/>
      <w:u w:val="single"/>
    </w:rPr>
  </w:style>
  <w:style w:type="table" w:styleId="TableGrid">
    <w:name w:val="Table Grid"/>
    <w:basedOn w:val="TableNormal"/>
    <w:uiPriority w:val="39"/>
    <w:rsid w:val="006D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A24"/>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lobalforestwat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384F-4D3C-4095-864C-1B121F41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Avotins</dc:creator>
  <cp:lastModifiedBy>Ilze Priedniece</cp:lastModifiedBy>
  <cp:revision>13</cp:revision>
  <dcterms:created xsi:type="dcterms:W3CDTF">2020-03-30T16:05:00Z</dcterms:created>
  <dcterms:modified xsi:type="dcterms:W3CDTF">2020-11-27T17:54:00Z</dcterms:modified>
</cp:coreProperties>
</file>